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69" w:rsidRPr="008F4854" w:rsidRDefault="00E64969" w:rsidP="00516C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4854" w:rsidRPr="008F4854">
        <w:rPr>
          <w:rFonts w:ascii="Times New Roman" w:hAnsi="Times New Roman" w:cs="Times New Roman"/>
          <w:sz w:val="26"/>
          <w:szCs w:val="26"/>
        </w:rPr>
        <w:t>2</w:t>
      </w:r>
    </w:p>
    <w:p w:rsidR="004D2B0F" w:rsidRPr="004D2B0F" w:rsidRDefault="00E64969" w:rsidP="00516C8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7162F0" w:rsidRPr="004D2B0F">
        <w:rPr>
          <w:rFonts w:ascii="Times New Roman" w:hAnsi="Times New Roman" w:cs="Times New Roman"/>
          <w:sz w:val="26"/>
          <w:szCs w:val="26"/>
        </w:rPr>
        <w:t>«</w:t>
      </w:r>
      <w:r w:rsidR="008C1A61" w:rsidRPr="004D2B0F">
        <w:rPr>
          <w:rFonts w:ascii="Times New Roman" w:hAnsi="Times New Roman" w:cs="Times New Roman"/>
          <w:sz w:val="26"/>
          <w:szCs w:val="26"/>
        </w:rPr>
        <w:t xml:space="preserve">О </w:t>
      </w:r>
      <w:r w:rsidR="004D2B0F" w:rsidRPr="004D2B0F">
        <w:rPr>
          <w:rFonts w:ascii="Times New Roman" w:hAnsi="Times New Roman" w:cs="Times New Roman"/>
          <w:sz w:val="26"/>
          <w:szCs w:val="26"/>
        </w:rPr>
        <w:t>предоставлении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E64969" w:rsidRPr="008C1A61" w:rsidRDefault="00E64969" w:rsidP="00CD767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C8469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>о порядке предоставления субсидии на поддержку приоритетных направлений агропромышленного комплекса и развитие малых</w:t>
      </w:r>
      <w:r w:rsidRPr="008F25E4">
        <w:rPr>
          <w:rFonts w:ascii="Times New Roman" w:hAnsi="Times New Roman" w:cs="Times New Roman"/>
          <w:sz w:val="26"/>
          <w:szCs w:val="26"/>
        </w:rPr>
        <w:t xml:space="preserve"> форм хозяйствования </w:t>
      </w:r>
      <w:r w:rsidRPr="000A08C7">
        <w:rPr>
          <w:rFonts w:ascii="Times New Roman" w:hAnsi="Times New Roman" w:cs="Times New Roman"/>
          <w:sz w:val="26"/>
          <w:szCs w:val="26"/>
        </w:rPr>
        <w:t>(</w:t>
      </w:r>
      <w:r w:rsidR="00C06741"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Pr="000A08C7">
        <w:rPr>
          <w:rFonts w:ascii="Times New Roman" w:hAnsi="Times New Roman" w:cs="Times New Roman"/>
          <w:sz w:val="26"/>
          <w:szCs w:val="26"/>
        </w:rPr>
        <w:t>племенного м</w:t>
      </w:r>
      <w:r w:rsidR="00C06741">
        <w:rPr>
          <w:rFonts w:ascii="Times New Roman" w:hAnsi="Times New Roman" w:cs="Times New Roman"/>
          <w:sz w:val="26"/>
          <w:szCs w:val="26"/>
        </w:rPr>
        <w:t>олодняка</w:t>
      </w:r>
      <w:r w:rsidRPr="000A08C7">
        <w:rPr>
          <w:rFonts w:ascii="Times New Roman" w:hAnsi="Times New Roman" w:cs="Times New Roman"/>
          <w:sz w:val="26"/>
          <w:szCs w:val="26"/>
        </w:rPr>
        <w:t xml:space="preserve"> сельскохозяйственных животных)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81" w:rsidRPr="00BD69E8" w:rsidRDefault="00516C81" w:rsidP="00E1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5F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Pr="005F44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C84699" w:rsidRDefault="00C84699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5001C" w:rsidRDefault="00D5001C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5001C" w:rsidRDefault="00D5001C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4F3F1E" w:rsidRPr="0034753A" w:rsidTr="004B0019">
        <w:tc>
          <w:tcPr>
            <w:tcW w:w="675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4B0019">
        <w:tc>
          <w:tcPr>
            <w:tcW w:w="675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4B0019">
        <w:tc>
          <w:tcPr>
            <w:tcW w:w="675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4B0019">
        <w:tc>
          <w:tcPr>
            <w:tcW w:w="675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4B0019">
        <w:tc>
          <w:tcPr>
            <w:tcW w:w="675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4B0019">
        <w:tc>
          <w:tcPr>
            <w:tcW w:w="675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A5512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4B0019">
        <w:tc>
          <w:tcPr>
            <w:tcW w:w="675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AB5AF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3D15E1">
              <w:rPr>
                <w:rFonts w:ascii="Times New Roman" w:hAnsi="Times New Roman" w:cs="Times New Roman"/>
                <w:b w:val="0"/>
                <w:sz w:val="24"/>
                <w:szCs w:val="24"/>
              </w:rPr>
              <w:t>305-145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570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768"/>
      </w:tblGrid>
      <w:tr w:rsidR="000528B7" w:rsidRPr="00C06741" w:rsidTr="004B0019">
        <w:tc>
          <w:tcPr>
            <w:tcW w:w="675" w:type="dxa"/>
          </w:tcPr>
          <w:p w:rsidR="000528B7" w:rsidRPr="00C06741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528B7" w:rsidRPr="00C06741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68" w:type="dxa"/>
          </w:tcPr>
          <w:p w:rsidR="000528B7" w:rsidRPr="00C06741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4753A" w:rsidRPr="00C06741" w:rsidTr="004B0019">
        <w:tc>
          <w:tcPr>
            <w:tcW w:w="675" w:type="dxa"/>
          </w:tcPr>
          <w:p w:rsidR="0034753A" w:rsidRPr="00C06741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4753A" w:rsidRPr="00C06741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8" w:type="dxa"/>
          </w:tcPr>
          <w:p w:rsidR="0034753A" w:rsidRPr="00C06741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C06741" w:rsidTr="004B0019">
        <w:tc>
          <w:tcPr>
            <w:tcW w:w="675" w:type="dxa"/>
            <w:shd w:val="clear" w:color="auto" w:fill="auto"/>
          </w:tcPr>
          <w:p w:rsidR="005F4428" w:rsidRPr="00C06741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F4428" w:rsidRPr="00C06741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C06741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9707A2" w:rsidRDefault="005F4428" w:rsidP="0097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Субсидия на поддержку приоритетных направлений агропромышленного комплекса и развитие малых форм хозяйствования (</w:t>
            </w:r>
            <w:r w:rsidR="00C06741" w:rsidRPr="00C067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племенного м</w:t>
            </w:r>
            <w:r w:rsidR="00C06741" w:rsidRPr="00C06741">
              <w:rPr>
                <w:rFonts w:ascii="Times New Roman" w:hAnsi="Times New Roman" w:cs="Times New Roman"/>
                <w:sz w:val="24"/>
                <w:szCs w:val="24"/>
              </w:rPr>
              <w:t>олодняка</w:t>
            </w: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животных)</w:t>
            </w:r>
            <w:r w:rsidR="00C84699" w:rsidRPr="00C0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215" w:rsidRPr="00991215" w:rsidRDefault="00991215" w:rsidP="0097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0405 70 2 01 R501</w:t>
            </w:r>
            <w:r w:rsidR="00DC2F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Pr="009912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811</w:t>
            </w:r>
          </w:p>
        </w:tc>
      </w:tr>
      <w:tr w:rsidR="001551B6" w:rsidRPr="00C06741" w:rsidTr="004B0019">
        <w:tc>
          <w:tcPr>
            <w:tcW w:w="675" w:type="dxa"/>
            <w:shd w:val="clear" w:color="auto" w:fill="auto"/>
          </w:tcPr>
          <w:p w:rsidR="001551B6" w:rsidRPr="00C06741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551B6" w:rsidRPr="00C06741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68" w:type="dxa"/>
            <w:shd w:val="clear" w:color="auto" w:fill="auto"/>
          </w:tcPr>
          <w:p w:rsidR="001551B6" w:rsidRPr="00C06741" w:rsidRDefault="001551B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F4428" w:rsidRPr="00C06741" w:rsidTr="004B0019">
        <w:tc>
          <w:tcPr>
            <w:tcW w:w="675" w:type="dxa"/>
            <w:shd w:val="clear" w:color="auto" w:fill="auto"/>
          </w:tcPr>
          <w:p w:rsidR="005F4428" w:rsidRPr="00C06741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F4428" w:rsidRPr="00C06741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68" w:type="dxa"/>
            <w:shd w:val="clear" w:color="auto" w:fill="auto"/>
          </w:tcPr>
          <w:p w:rsidR="00C06741" w:rsidRPr="00C06741" w:rsidRDefault="00C06741" w:rsidP="00C067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племенного молодняка крупного рогатого скота молочного и (или) мясного направлений продуктивности без учета налога на добавленную стоимость. 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      </w:r>
          </w:p>
        </w:tc>
      </w:tr>
      <w:tr w:rsidR="005F4428" w:rsidRPr="00C06741" w:rsidTr="004B0019">
        <w:trPr>
          <w:trHeight w:val="285"/>
        </w:trPr>
        <w:tc>
          <w:tcPr>
            <w:tcW w:w="675" w:type="dxa"/>
            <w:shd w:val="clear" w:color="auto" w:fill="auto"/>
          </w:tcPr>
          <w:p w:rsidR="005F4428" w:rsidRPr="00C06741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F4428" w:rsidRPr="00C06741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41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68" w:type="dxa"/>
            <w:shd w:val="clear" w:color="auto" w:fill="auto"/>
          </w:tcPr>
          <w:p w:rsidR="005F4428" w:rsidRPr="00C06741" w:rsidRDefault="005F4428" w:rsidP="00011A94">
            <w:pPr>
              <w:pStyle w:val="afe"/>
              <w:spacing w:before="0" w:beforeAutospacing="0" w:after="0" w:afterAutospacing="0"/>
            </w:pPr>
            <w:r w:rsidRPr="00C06741">
              <w:t xml:space="preserve">Субсидии на </w:t>
            </w:r>
            <w:r w:rsidR="00BA41E2" w:rsidRPr="00C06741">
              <w:t>производство (реализацию) продукции</w:t>
            </w:r>
          </w:p>
        </w:tc>
      </w:tr>
      <w:tr w:rsidR="00D97476" w:rsidRPr="00F43C74" w:rsidTr="004B0019">
        <w:tc>
          <w:tcPr>
            <w:tcW w:w="675" w:type="dxa"/>
            <w:shd w:val="clear" w:color="auto" w:fill="auto"/>
          </w:tcPr>
          <w:p w:rsidR="00D97476" w:rsidRPr="00F43C74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97476" w:rsidRPr="00F43C74" w:rsidRDefault="00D97476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68" w:type="dxa"/>
            <w:shd w:val="clear" w:color="auto" w:fill="auto"/>
          </w:tcPr>
          <w:p w:rsidR="00F43C74" w:rsidRPr="00F43C74" w:rsidRDefault="00F43C74" w:rsidP="00F43C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Затраты на приобретение племенного молодняка сельскохозяйственных животных – 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крупного рогатого скота молочного и (или) мясного направлений продуктивности </w:t>
            </w:r>
          </w:p>
          <w:p w:rsidR="00D97476" w:rsidRPr="00F43C74" w:rsidRDefault="00D9747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019" w:rsidRPr="00F43C74" w:rsidTr="004B0019">
        <w:tc>
          <w:tcPr>
            <w:tcW w:w="675" w:type="dxa"/>
            <w:shd w:val="clear" w:color="auto" w:fill="auto"/>
          </w:tcPr>
          <w:p w:rsidR="004B0019" w:rsidRPr="00F43C74" w:rsidRDefault="004B0019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B0019" w:rsidRPr="00F43C74" w:rsidRDefault="004B0019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подтверждающих фактически недополученные доходы (затраты)</w:t>
            </w:r>
          </w:p>
        </w:tc>
        <w:tc>
          <w:tcPr>
            <w:tcW w:w="6768" w:type="dxa"/>
            <w:shd w:val="clear" w:color="auto" w:fill="auto"/>
          </w:tcPr>
          <w:p w:rsidR="004B0019" w:rsidRPr="00F43C74" w:rsidRDefault="004B0019" w:rsidP="00916E85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18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2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</w:t>
            </w:r>
            <w:r w:rsidR="008C2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</w:t>
            </w:r>
            <w:r w:rsidR="00916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приобретение племенного молодняка сельскохозяйственных животных (договор, акт приема-передачи (с описью приобретенных животных), счет и (или) счет-фактура, товарная накладная, племенное свидетельство на каждое животное);</w:t>
            </w:r>
          </w:p>
          <w:p w:rsidR="00587828" w:rsidRPr="00F43C74" w:rsidRDefault="004B0019" w:rsidP="00916E85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183CB7"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</w:t>
            </w:r>
            <w:r w:rsidR="008C2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83CB7"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</w:t>
            </w:r>
            <w:r w:rsidR="008C2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18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подтверждающи</w:t>
            </w:r>
            <w:r w:rsidR="008C2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оплату</w:t>
            </w:r>
            <w:r w:rsidR="0058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7828"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стоимости приобретенного племенного молодняка </w:t>
            </w:r>
            <w:r w:rsidR="00587828"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сельскохозяйственных животных в полном объеме;</w:t>
            </w:r>
          </w:p>
          <w:p w:rsidR="004B0019" w:rsidRPr="00F43C74" w:rsidRDefault="00587828" w:rsidP="008C2B05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уведомлени</w:t>
            </w:r>
            <w:r w:rsidR="008C2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 (</w:t>
            </w:r>
            <w:hyperlink r:id="rId8" w:history="1">
              <w:r w:rsidRPr="00F43C7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форма</w:t>
              </w:r>
            </w:hyperlink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приложению  к приказу Министерства финансов Российской Федерации от 26.12.2018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286н «Об утверждении форм уведомления об использовании права на освобождение от исполнения обязанностей налогоплательщика, связанных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исчислением и уплатой налога на добавленную стоимость» с отметкой налогового органа о получении), – представляется, если участник отбора использовал право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</w:tr>
    </w:tbl>
    <w:p w:rsidR="006E38EF" w:rsidRDefault="006E38EF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5001C" w:rsidRDefault="00D5001C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расчета размера субсидии</w:t>
      </w:r>
    </w:p>
    <w:p w:rsidR="00D5001C" w:rsidRDefault="00D5001C" w:rsidP="00D500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001C" w:rsidRPr="00D5001C" w:rsidRDefault="00D5001C" w:rsidP="00D5001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01C">
        <w:rPr>
          <w:rFonts w:ascii="Times New Roman" w:hAnsi="Times New Roman" w:cs="Times New Roman"/>
          <w:color w:val="000000" w:themeColor="text1"/>
          <w:sz w:val="26"/>
          <w:szCs w:val="26"/>
        </w:rPr>
        <w:t>Размер субсидии, предоставляемой получателю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001C">
        <w:rPr>
          <w:rFonts w:ascii="Times New Roman" w:hAnsi="Times New Roman" w:cs="Times New Roman"/>
          <w:sz w:val="26"/>
          <w:szCs w:val="26"/>
        </w:rPr>
        <w:t>(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D5001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5001C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D5001C" w:rsidRPr="00D5001C" w:rsidRDefault="00D5001C" w:rsidP="00D50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01C" w:rsidRPr="00D5001C" w:rsidRDefault="00D5001C" w:rsidP="00D5001C">
      <w:pPr>
        <w:pStyle w:val="ConsPlusNormal"/>
        <w:tabs>
          <w:tab w:val="center" w:pos="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5001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D5001C">
        <w:rPr>
          <w:rFonts w:ascii="Times New Roman" w:hAnsi="Times New Roman" w:cs="Times New Roman"/>
          <w:sz w:val="26"/>
          <w:szCs w:val="26"/>
        </w:rPr>
        <w:t xml:space="preserve"> = Qk x с</w:t>
      </w:r>
      <w:r w:rsidRPr="00D500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001C">
        <w:rPr>
          <w:rFonts w:ascii="Times New Roman" w:hAnsi="Times New Roman" w:cs="Times New Roman"/>
          <w:sz w:val="26"/>
          <w:szCs w:val="26"/>
        </w:rPr>
        <w:t>,</w:t>
      </w:r>
    </w:p>
    <w:p w:rsidR="00D5001C" w:rsidRDefault="00D5001C" w:rsidP="00D50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01C" w:rsidRPr="00D5001C" w:rsidRDefault="00D5001C" w:rsidP="00D50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01C">
        <w:rPr>
          <w:rFonts w:ascii="Times New Roman" w:hAnsi="Times New Roman" w:cs="Times New Roman"/>
          <w:sz w:val="26"/>
          <w:szCs w:val="26"/>
        </w:rPr>
        <w:t>где:</w:t>
      </w:r>
    </w:p>
    <w:p w:rsidR="00D5001C" w:rsidRPr="00D5001C" w:rsidRDefault="00D5001C" w:rsidP="00D50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01C">
        <w:rPr>
          <w:rFonts w:ascii="Times New Roman" w:hAnsi="Times New Roman" w:cs="Times New Roman"/>
          <w:sz w:val="26"/>
          <w:szCs w:val="26"/>
        </w:rPr>
        <w:t xml:space="preserve">Qk </w:t>
      </w:r>
      <w:r w:rsidRPr="00D5001C">
        <w:rPr>
          <w:rFonts w:ascii="Times New Roman" w:hAnsi="Times New Roman" w:cs="Times New Roman"/>
          <w:b/>
          <w:sz w:val="26"/>
          <w:szCs w:val="26"/>
        </w:rPr>
        <w:t>–</w:t>
      </w:r>
      <w:r w:rsidRPr="00D5001C">
        <w:rPr>
          <w:rFonts w:ascii="Times New Roman" w:hAnsi="Times New Roman" w:cs="Times New Roman"/>
          <w:sz w:val="26"/>
          <w:szCs w:val="26"/>
        </w:rPr>
        <w:t xml:space="preserve"> количество приобретенного участником отбора племенного молодняка сельскохозяйственных животных (голов);</w:t>
      </w:r>
    </w:p>
    <w:p w:rsidR="00D5001C" w:rsidRPr="00D5001C" w:rsidRDefault="00D5001C" w:rsidP="00D50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D5001C">
        <w:rPr>
          <w:rFonts w:ascii="Times New Roman" w:hAnsi="Times New Roman" w:cs="Times New Roman"/>
          <w:sz w:val="26"/>
          <w:szCs w:val="26"/>
        </w:rPr>
        <w:t>с</w:t>
      </w:r>
      <w:r w:rsidRPr="00D5001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5001C">
        <w:rPr>
          <w:rFonts w:ascii="Times New Roman" w:hAnsi="Times New Roman" w:cs="Times New Roman"/>
          <w:sz w:val="26"/>
          <w:szCs w:val="26"/>
        </w:rPr>
        <w:t xml:space="preserve"> </w:t>
      </w:r>
      <w:r w:rsidRPr="00D5001C">
        <w:rPr>
          <w:rFonts w:ascii="Times New Roman" w:hAnsi="Times New Roman" w:cs="Times New Roman"/>
          <w:b/>
          <w:sz w:val="26"/>
          <w:szCs w:val="26"/>
        </w:rPr>
        <w:t>–</w:t>
      </w:r>
      <w:r w:rsidRPr="00D5001C">
        <w:rPr>
          <w:rFonts w:ascii="Times New Roman" w:hAnsi="Times New Roman" w:cs="Times New Roman"/>
          <w:sz w:val="26"/>
          <w:szCs w:val="26"/>
        </w:rPr>
        <w:t xml:space="preserve"> ставка субсидии на 1 голову племенного молодняка сельскохозяйственных животных, которая 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определяется исходя из размера затрат (части затрат), необходимых для достижения единицы значения результата предоставления субсидии, равном 50% стоимости племенного  молодняка сельскохозяйственных животных, но не более предельной суммы субсидирования, </w:t>
      </w:r>
      <w:r w:rsidRPr="00D5001C">
        <w:rPr>
          <w:rFonts w:ascii="Times New Roman" w:hAnsi="Times New Roman" w:cs="Times New Roman"/>
          <w:sz w:val="26"/>
          <w:szCs w:val="26"/>
        </w:rPr>
        <w:t xml:space="preserve">предусмотренной </w:t>
      </w:r>
      <w:hyperlink w:anchor="Par305" w:tooltip="Таблица 1" w:history="1">
        <w:r w:rsidRPr="00D5001C">
          <w:rPr>
            <w:rFonts w:ascii="Times New Roman" w:hAnsi="Times New Roman" w:cs="Times New Roman"/>
            <w:sz w:val="26"/>
            <w:szCs w:val="26"/>
          </w:rPr>
          <w:t>таблицей 1</w:t>
        </w:r>
      </w:hyperlink>
      <w:r w:rsidRPr="00D5001C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. </w:t>
      </w:r>
    </w:p>
    <w:p w:rsidR="00D5001C" w:rsidRPr="00D5001C" w:rsidRDefault="00D5001C" w:rsidP="00D50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01C">
        <w:rPr>
          <w:rFonts w:ascii="Times New Roman" w:hAnsi="Times New Roman" w:cs="Times New Roman"/>
          <w:sz w:val="26"/>
          <w:szCs w:val="26"/>
        </w:rPr>
        <w:t>Ставка субсидии определяется с учетом следующих условий:</w:t>
      </w:r>
    </w:p>
    <w:p w:rsidR="00D5001C" w:rsidRPr="00D5001C" w:rsidRDefault="00D5001C" w:rsidP="00D500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01C">
        <w:rPr>
          <w:rFonts w:ascii="Times New Roman" w:hAnsi="Times New Roman" w:cs="Times New Roman"/>
          <w:sz w:val="26"/>
          <w:szCs w:val="26"/>
        </w:rPr>
        <w:t xml:space="preserve">в случае выполнения получателем субсидии условия по достижению в 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D5001C">
        <w:rPr>
          <w:rFonts w:ascii="Times New Roman" w:hAnsi="Times New Roman" w:cs="Times New Roman"/>
          <w:sz w:val="26"/>
          <w:szCs w:val="26"/>
        </w:rPr>
        <w:t xml:space="preserve">году результата предоставления субсидии, предусмотренного соглашением о предоставлении субсидии, заключенным в 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D5001C">
        <w:rPr>
          <w:rFonts w:ascii="Times New Roman" w:hAnsi="Times New Roman" w:cs="Times New Roman"/>
          <w:sz w:val="26"/>
          <w:szCs w:val="26"/>
        </w:rPr>
        <w:t xml:space="preserve">году, к ставке применяется коэффициент в размере, равном среднему отношению фактического значения за 2024 год к установленному, но не </w:t>
      </w:r>
      <w:r w:rsidR="006E4972">
        <w:rPr>
          <w:rFonts w:ascii="Times New Roman" w:hAnsi="Times New Roman" w:cs="Times New Roman"/>
          <w:sz w:val="26"/>
          <w:szCs w:val="26"/>
        </w:rPr>
        <w:t>выше</w:t>
      </w:r>
      <w:r w:rsidRPr="00D5001C">
        <w:rPr>
          <w:rFonts w:ascii="Times New Roman" w:hAnsi="Times New Roman" w:cs="Times New Roman"/>
          <w:sz w:val="26"/>
          <w:szCs w:val="26"/>
        </w:rPr>
        <w:t xml:space="preserve"> 1,2;</w:t>
      </w:r>
    </w:p>
    <w:p w:rsidR="00D5001C" w:rsidRPr="00D5001C" w:rsidRDefault="00D5001C" w:rsidP="00D50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D5001C">
        <w:rPr>
          <w:rFonts w:ascii="Times New Roman" w:hAnsi="Times New Roman" w:cs="Times New Roman"/>
          <w:sz w:val="26"/>
          <w:szCs w:val="26"/>
        </w:rPr>
        <w:t xml:space="preserve">в случае невыполнения получателем субсидии условия по достижению в 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D5001C">
        <w:rPr>
          <w:rFonts w:ascii="Times New Roman" w:hAnsi="Times New Roman" w:cs="Times New Roman"/>
          <w:sz w:val="26"/>
          <w:szCs w:val="26"/>
        </w:rPr>
        <w:t xml:space="preserve">году результата предоставления субсидия, предусмотренного соглашением о предоставлении субсидии, заключенным в </w:t>
      </w:r>
      <w:r w:rsidRPr="00D500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D5001C">
        <w:rPr>
          <w:rFonts w:ascii="Times New Roman" w:hAnsi="Times New Roman" w:cs="Times New Roman"/>
          <w:sz w:val="26"/>
          <w:szCs w:val="26"/>
        </w:rPr>
        <w:t>году, к ставке применяется коэффициент в размере, равном среднему отношению фактического значения за 2024 год к установленному, но не менее 0,8.</w:t>
      </w:r>
    </w:p>
    <w:p w:rsidR="00D5001C" w:rsidRPr="00D5001C" w:rsidRDefault="00D5001C" w:rsidP="00D50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</w:p>
    <w:p w:rsidR="00D5001C" w:rsidRDefault="00D5001C" w:rsidP="00D5001C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587828" w:rsidRDefault="00587828" w:rsidP="00D5001C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D5001C" w:rsidRPr="00F43C74" w:rsidRDefault="00D5001C" w:rsidP="00D5001C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43C74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Таблица 1</w:t>
      </w:r>
    </w:p>
    <w:p w:rsidR="00D5001C" w:rsidRPr="00F43C74" w:rsidRDefault="00D5001C" w:rsidP="00D500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tbl>
      <w:tblPr>
        <w:tblStyle w:val="af0"/>
        <w:tblW w:w="954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3198"/>
      </w:tblGrid>
      <w:tr w:rsidR="004B0019" w:rsidRPr="00F43C74" w:rsidTr="004B0019">
        <w:tc>
          <w:tcPr>
            <w:tcW w:w="675" w:type="dxa"/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сумма субсидирования за одну голову племенного молодняка сельскохозяйственных животных, рублей</w:t>
            </w:r>
          </w:p>
        </w:tc>
        <w:tc>
          <w:tcPr>
            <w:tcW w:w="2268" w:type="dxa"/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Половозрастная группа крупного рогатого скота</w:t>
            </w:r>
          </w:p>
        </w:tc>
        <w:tc>
          <w:tcPr>
            <w:tcW w:w="3198" w:type="dxa"/>
          </w:tcPr>
          <w:p w:rsidR="00D5001C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приобретения племенного</w:t>
            </w:r>
          </w:p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молодняка сельскохозяйственных животных</w:t>
            </w:r>
          </w:p>
        </w:tc>
      </w:tr>
      <w:tr w:rsidR="004B0019" w:rsidRPr="00F43C74" w:rsidTr="004B0019">
        <w:tc>
          <w:tcPr>
            <w:tcW w:w="675" w:type="dxa"/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001C" w:rsidRPr="00F43C74" w:rsidRDefault="00D5001C" w:rsidP="00D5001C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5001C" w:rsidRPr="00F43C74" w:rsidRDefault="00D5001C" w:rsidP="00D5001C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8" w:type="dxa"/>
          </w:tcPr>
          <w:p w:rsidR="00D5001C" w:rsidRPr="00F43C74" w:rsidRDefault="00D5001C" w:rsidP="00D5001C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0019" w:rsidRPr="00F43C74" w:rsidTr="004B0019">
        <w:trPr>
          <w:trHeight w:val="591"/>
        </w:trPr>
        <w:tc>
          <w:tcPr>
            <w:tcW w:w="675" w:type="dxa"/>
            <w:tcBorders>
              <w:bottom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Нетели, телки</w:t>
            </w:r>
          </w:p>
        </w:tc>
        <w:tc>
          <w:tcPr>
            <w:tcW w:w="3198" w:type="dxa"/>
            <w:vMerge w:val="restart"/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Племенное хозяйство, расположенное на территории Республики Хакасия</w:t>
            </w:r>
          </w:p>
        </w:tc>
      </w:tr>
      <w:tr w:rsidR="004B0019" w:rsidRPr="00F43C74" w:rsidTr="004B0019">
        <w:trPr>
          <w:trHeight w:val="234"/>
        </w:trPr>
        <w:tc>
          <w:tcPr>
            <w:tcW w:w="675" w:type="dxa"/>
            <w:tcBorders>
              <w:top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001C" w:rsidRPr="00F43C74" w:rsidRDefault="00D5001C" w:rsidP="00D5001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001C" w:rsidRPr="00F43C74" w:rsidRDefault="00D5001C" w:rsidP="00D50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Бычки до двух лет</w:t>
            </w:r>
          </w:p>
        </w:tc>
        <w:tc>
          <w:tcPr>
            <w:tcW w:w="3198" w:type="dxa"/>
            <w:vMerge/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0019" w:rsidRPr="00F43C74" w:rsidTr="004B0019">
        <w:trPr>
          <w:trHeight w:val="465"/>
        </w:trPr>
        <w:tc>
          <w:tcPr>
            <w:tcW w:w="675" w:type="dxa"/>
            <w:tcBorders>
              <w:bottom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Нетели, телки</w:t>
            </w:r>
          </w:p>
        </w:tc>
        <w:tc>
          <w:tcPr>
            <w:tcW w:w="3198" w:type="dxa"/>
            <w:vMerge w:val="restart"/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Племенное хозяйство, расположенное за пределами Республики Хакасия</w:t>
            </w:r>
          </w:p>
        </w:tc>
      </w:tr>
      <w:tr w:rsidR="004B0019" w:rsidRPr="00F43C74" w:rsidTr="004B0019">
        <w:trPr>
          <w:trHeight w:val="361"/>
        </w:trPr>
        <w:tc>
          <w:tcPr>
            <w:tcW w:w="675" w:type="dxa"/>
            <w:tcBorders>
              <w:top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001C" w:rsidRPr="00F43C74" w:rsidRDefault="00D5001C" w:rsidP="00D5001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5001C" w:rsidRPr="00F43C74" w:rsidRDefault="00D5001C" w:rsidP="00D50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Бычки до двух лет</w:t>
            </w:r>
          </w:p>
        </w:tc>
        <w:tc>
          <w:tcPr>
            <w:tcW w:w="3198" w:type="dxa"/>
            <w:vMerge/>
          </w:tcPr>
          <w:p w:rsidR="00D5001C" w:rsidRPr="00F43C74" w:rsidRDefault="00D5001C" w:rsidP="00D5001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001C" w:rsidRDefault="00D5001C" w:rsidP="00D5001C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01C" w:rsidRPr="004B0019" w:rsidRDefault="00D5001C" w:rsidP="00D5001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019">
        <w:rPr>
          <w:rFonts w:ascii="Times New Roman" w:hAnsi="Times New Roman" w:cs="Times New Roman"/>
          <w:color w:val="000000" w:themeColor="text1"/>
          <w:sz w:val="26"/>
          <w:szCs w:val="26"/>
        </w:rPr>
        <w:t>При расчете размера субсидии, предоставляемой получателю субсидии, являющемуся племенным хозяйством, применяются предельные суммы субсидирования на одну голову племенного молодняка сельскохозяйственных животных, предусмотренные строками 1 и 2 таблицы 1.</w:t>
      </w:r>
    </w:p>
    <w:p w:rsidR="00D5001C" w:rsidRDefault="00D5001C" w:rsidP="00D5001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F4428" w:rsidRDefault="0034753A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4428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4B0019" w:rsidRDefault="004B0019" w:rsidP="004B00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1470"/>
        <w:gridCol w:w="1784"/>
        <w:gridCol w:w="3544"/>
        <w:gridCol w:w="2126"/>
      </w:tblGrid>
      <w:tr w:rsidR="004B0019" w:rsidRPr="002A689A" w:rsidTr="004C05E2">
        <w:tc>
          <w:tcPr>
            <w:tcW w:w="540" w:type="dxa"/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Код результата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</w:t>
            </w:r>
          </w:p>
        </w:tc>
      </w:tr>
      <w:tr w:rsidR="004B0019" w:rsidRPr="002A689A" w:rsidTr="004C05E2">
        <w:tc>
          <w:tcPr>
            <w:tcW w:w="540" w:type="dxa"/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019" w:rsidRPr="002A689A" w:rsidTr="004C05E2">
        <w:tc>
          <w:tcPr>
            <w:tcW w:w="540" w:type="dxa"/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X2929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(реализация) продукции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Достигнута численность племенного молодняка сельскохозяйственных животных, приобретенного в племенных хозяйствах, зарегистрированных в государственном племенном регистре, в пересчете на условные головы</w:t>
            </w:r>
            <w:r w:rsidRPr="005D7294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294">
              <w:rPr>
                <w:rFonts w:ascii="Times New Roman" w:hAnsi="Times New Roman" w:cs="Times New Roman"/>
                <w:sz w:val="24"/>
                <w:szCs w:val="24"/>
              </w:rPr>
              <w:t xml:space="preserve"> голов)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0019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0019" w:rsidRPr="002A689A" w:rsidRDefault="004B0019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4B0019" w:rsidRDefault="004B0019" w:rsidP="004B00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3EA2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F73EA2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F73EA2" w:rsidRDefault="00F73EA2" w:rsidP="00F73EA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8E2C4B" w:rsidRPr="005F4428" w:rsidTr="00011A94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4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Тип субъекта экономической деятельности</w:t>
            </w:r>
          </w:p>
        </w:tc>
      </w:tr>
      <w:tr w:rsidR="000528B7" w:rsidRPr="005F4428" w:rsidTr="00011A94">
        <w:tc>
          <w:tcPr>
            <w:tcW w:w="540" w:type="dxa"/>
          </w:tcPr>
          <w:p w:rsidR="000528B7" w:rsidRPr="005F4428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011A94">
        <w:tc>
          <w:tcPr>
            <w:tcW w:w="540" w:type="dxa"/>
          </w:tcPr>
          <w:p w:rsidR="00F73EA2" w:rsidRPr="000A08C7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F73EA2" w:rsidRPr="000A08C7" w:rsidRDefault="008E2C4B" w:rsidP="00460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  кредитных потребительских кооперативов) </w:t>
            </w:r>
          </w:p>
        </w:tc>
        <w:tc>
          <w:tcPr>
            <w:tcW w:w="3260" w:type="dxa"/>
          </w:tcPr>
          <w:p w:rsidR="00F73EA2" w:rsidRPr="005F4428" w:rsidRDefault="008E2C4B" w:rsidP="00735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Юридическое лицо, индивидуальный предприниматель, крестьянское (фермерское) хозяйство</w:t>
            </w:r>
          </w:p>
        </w:tc>
      </w:tr>
    </w:tbl>
    <w:p w:rsidR="004B0019" w:rsidRDefault="004B0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86011" w:rsidRDefault="00735FC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91C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 к </w:t>
      </w:r>
      <w:r w:rsidR="001551B6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4B0019" w:rsidRDefault="004B0019" w:rsidP="004B001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684BA4" w:rsidTr="00161326">
        <w:tc>
          <w:tcPr>
            <w:tcW w:w="534" w:type="dxa"/>
          </w:tcPr>
          <w:p w:rsidR="00286011" w:rsidRPr="00684BA4" w:rsidRDefault="00286011" w:rsidP="00161326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684BA4" w:rsidTr="00161326">
        <w:tc>
          <w:tcPr>
            <w:tcW w:w="534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684BA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684BA4" w:rsidTr="00161326">
        <w:tc>
          <w:tcPr>
            <w:tcW w:w="534" w:type="dxa"/>
          </w:tcPr>
          <w:p w:rsidR="00132B9F" w:rsidRPr="00684BA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32B9F" w:rsidRPr="00684BA4" w:rsidRDefault="00132B9F" w:rsidP="004B001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684B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684B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684BA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684BA4" w:rsidRDefault="00250878" w:rsidP="00684BA4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684BA4">
              <w:rPr>
                <w:color w:val="000000" w:themeColor="text1"/>
              </w:rPr>
              <w:t>Заявка</w:t>
            </w:r>
            <w:r w:rsidR="0034753A" w:rsidRPr="00684BA4">
              <w:rPr>
                <w:color w:val="000000" w:themeColor="text1"/>
              </w:rPr>
              <w:t xml:space="preserve"> (</w:t>
            </w:r>
            <w:r w:rsidR="00684BA4" w:rsidRPr="00684BA4">
              <w:t>проставление отметок о соответствии</w:t>
            </w:r>
            <w:r w:rsidR="0034753A" w:rsidRPr="00684BA4">
              <w:rPr>
                <w:color w:val="000000" w:themeColor="text1"/>
              </w:rPr>
              <w:t>)</w:t>
            </w:r>
          </w:p>
        </w:tc>
      </w:tr>
      <w:tr w:rsidR="00286011" w:rsidRPr="00684BA4" w:rsidTr="00161326">
        <w:tc>
          <w:tcPr>
            <w:tcW w:w="534" w:type="dxa"/>
          </w:tcPr>
          <w:p w:rsidR="00286011" w:rsidRPr="00684BA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684BA4" w:rsidRDefault="00286011" w:rsidP="004B001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268" w:type="dxa"/>
            <w:shd w:val="clear" w:color="auto" w:fill="auto"/>
          </w:tcPr>
          <w:p w:rsidR="00286011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161326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684BA4" w:rsidRDefault="00684BA4" w:rsidP="004B001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684BA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4B0019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684BA4" w:rsidRDefault="00684BA4" w:rsidP="00BD5B9A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 w:rsidR="00BD5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684BA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4B0019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684BA4" w:rsidRDefault="00684BA4" w:rsidP="004B001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684BA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4B0019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84BA4" w:rsidRPr="00684BA4" w:rsidRDefault="00684BA4" w:rsidP="004B0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Минсельхозпрод РХ не позднее 31 января 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 xml:space="preserve">года копии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shd w:val="clear" w:color="auto" w:fill="auto"/>
          </w:tcPr>
          <w:p w:rsidR="00684BA4" w:rsidRPr="00684BA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684BA4" w:rsidTr="004B0019">
        <w:tc>
          <w:tcPr>
            <w:tcW w:w="534" w:type="dxa"/>
          </w:tcPr>
          <w:p w:rsidR="00684BA4" w:rsidRPr="00684BA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84BA4" w:rsidRPr="00684BA4" w:rsidRDefault="00684BA4" w:rsidP="004B0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9" w:history="1">
              <w:r w:rsidRPr="00684B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 w:rsidR="00991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4BA4" w:rsidRPr="00684BA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1"/>
            <w:bookmarkEnd w:id="0"/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684BA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C1330" w:rsidRPr="00684BA4" w:rsidTr="004C05E2">
        <w:tc>
          <w:tcPr>
            <w:tcW w:w="534" w:type="dxa"/>
          </w:tcPr>
          <w:p w:rsidR="006C1330" w:rsidRPr="00684BA4" w:rsidRDefault="006C1330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</w:tcPr>
          <w:p w:rsidR="006C1330" w:rsidRPr="00684BA4" w:rsidRDefault="006C1330" w:rsidP="004B0019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84BA4">
      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268" w:type="dxa"/>
            <w:shd w:val="clear" w:color="auto" w:fill="auto"/>
          </w:tcPr>
          <w:p w:rsidR="004C05E2" w:rsidRPr="00C334A0" w:rsidRDefault="004C05E2" w:rsidP="004C05E2">
            <w:pPr>
              <w:pStyle w:val="afe"/>
              <w:spacing w:before="0" w:beforeAutospacing="0" w:after="0" w:afterAutospacing="0"/>
              <w:jc w:val="center"/>
            </w:pPr>
            <w:r w:rsidRPr="00C334A0">
              <w:t>Правоустанавлива-ющие и (или) правоудостоверя-ющие документы на земельные участки.</w:t>
            </w:r>
          </w:p>
          <w:p w:rsidR="006C1330" w:rsidRPr="00684BA4" w:rsidRDefault="004C05E2" w:rsidP="004C05E2">
            <w:pPr>
              <w:pStyle w:val="afe"/>
              <w:spacing w:before="0" w:beforeAutospacing="0" w:after="0" w:afterAutospacing="0"/>
              <w:jc w:val="center"/>
            </w:pPr>
            <w:r w:rsidRPr="00C334A0">
              <w:t>Выписку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</w:p>
        </w:tc>
      </w:tr>
      <w:tr w:rsidR="00B31AF2" w:rsidRPr="00684BA4" w:rsidTr="004C05E2">
        <w:tc>
          <w:tcPr>
            <w:tcW w:w="534" w:type="dxa"/>
          </w:tcPr>
          <w:p w:rsidR="00B31AF2" w:rsidRPr="00684BA4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31AF2" w:rsidRPr="00684BA4" w:rsidRDefault="00B31AF2" w:rsidP="004B0019">
            <w:pPr>
              <w:pStyle w:val="afe"/>
              <w:spacing w:before="0" w:beforeAutospacing="0" w:after="0" w:afterAutospacing="0"/>
              <w:jc w:val="both"/>
            </w:pPr>
            <w:r w:rsidRPr="00684BA4">
              <w:t xml:space="preserve"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</w:t>
            </w:r>
            <w:r w:rsidRPr="00832FD2">
              <w:t xml:space="preserve">отсутствии </w:t>
            </w:r>
            <w:r w:rsidR="009604D0">
              <w:t xml:space="preserve">за 2024 год </w:t>
            </w:r>
            <w:bookmarkStart w:id="1" w:name="_GoBack"/>
            <w:bookmarkEnd w:id="1"/>
            <w:r w:rsidRPr="00832FD2">
              <w:t>у участника</w:t>
            </w:r>
            <w:r w:rsidRPr="00684BA4">
              <w:t xml:space="preserve"> отбора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Минсельхозпрод РХ запрашивает их самостоятельно)</w:t>
            </w:r>
          </w:p>
        </w:tc>
        <w:tc>
          <w:tcPr>
            <w:tcW w:w="2268" w:type="dxa"/>
            <w:shd w:val="clear" w:color="auto" w:fill="auto"/>
          </w:tcPr>
          <w:p w:rsidR="00B31AF2" w:rsidRPr="00684BA4" w:rsidRDefault="008E2FFA" w:rsidP="008E2FFA">
            <w:pPr>
              <w:pStyle w:val="afe"/>
              <w:spacing w:before="0" w:beforeAutospacing="0" w:after="0" w:afterAutospacing="0"/>
              <w:jc w:val="center"/>
            </w:pPr>
            <w:r>
              <w:rPr>
                <w:color w:val="000000" w:themeColor="text1"/>
              </w:rPr>
              <w:t>З</w:t>
            </w:r>
            <w:r w:rsidR="004C05E2" w:rsidRPr="00532B34">
              <w:rPr>
                <w:color w:val="000000" w:themeColor="text1"/>
              </w:rPr>
              <w:t>аявка (</w:t>
            </w:r>
            <w:r w:rsidR="004C05E2" w:rsidRPr="00532B34">
              <w:t>проставление отметки о соответствии)</w:t>
            </w:r>
          </w:p>
        </w:tc>
      </w:tr>
      <w:tr w:rsidR="00CD5ED3" w:rsidRPr="00684BA4" w:rsidTr="004C05E2">
        <w:tc>
          <w:tcPr>
            <w:tcW w:w="534" w:type="dxa"/>
          </w:tcPr>
          <w:p w:rsidR="009272B7" w:rsidRPr="00684BA4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272B7" w:rsidRPr="00684BA4" w:rsidRDefault="009272B7" w:rsidP="004B0019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84BA4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10" w:history="1">
              <w:r w:rsidRPr="00684BA4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684BA4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</w:p>
        </w:tc>
        <w:tc>
          <w:tcPr>
            <w:tcW w:w="2268" w:type="dxa"/>
            <w:shd w:val="clear" w:color="auto" w:fill="auto"/>
          </w:tcPr>
          <w:p w:rsidR="009272B7" w:rsidRPr="00684BA4" w:rsidRDefault="00DE3634" w:rsidP="004C05E2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84BA4">
              <w:rPr>
                <w:color w:val="000000" w:themeColor="text1"/>
              </w:rPr>
              <w:t>Заявка (</w:t>
            </w:r>
            <w:r w:rsidRPr="00684BA4">
              <w:t>проставление отметки о соответствии</w:t>
            </w:r>
            <w:r w:rsidRPr="00684BA4">
              <w:rPr>
                <w:color w:val="000000" w:themeColor="text1"/>
              </w:rPr>
              <w:t>)</w:t>
            </w:r>
          </w:p>
        </w:tc>
      </w:tr>
      <w:tr w:rsidR="00AB5AFE" w:rsidRPr="00684BA4" w:rsidTr="004C05E2">
        <w:tc>
          <w:tcPr>
            <w:tcW w:w="534" w:type="dxa"/>
          </w:tcPr>
          <w:p w:rsidR="00AB5AFE" w:rsidRPr="00684BA4" w:rsidRDefault="00AB5AF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5AFE" w:rsidRPr="00684BA4" w:rsidRDefault="00AB5AFE" w:rsidP="004B0019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Участник отбора является сельскохозяйственным</w:t>
            </w:r>
            <w:r w:rsidRPr="000A08C7">
              <w:t xml:space="preserve"> товаропроизводител</w:t>
            </w:r>
            <w:r>
              <w:t>ем</w:t>
            </w:r>
            <w:r w:rsidRPr="000A08C7">
              <w:t xml:space="preserve"> (за исключением граждан, ведущих личное подсобное хозяйство, и сельскохозяйственных   кредитных</w:t>
            </w:r>
            <w:r>
              <w:t xml:space="preserve">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AB5AFE" w:rsidRPr="00684BA4" w:rsidRDefault="00DE3634" w:rsidP="004C05E2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84BA4">
              <w:rPr>
                <w:color w:val="000000" w:themeColor="text1"/>
              </w:rPr>
              <w:t>Заявка (</w:t>
            </w:r>
            <w:r w:rsidRPr="00684BA4">
              <w:t>проставление отметки о соответствии</w:t>
            </w:r>
            <w:r w:rsidRPr="00684BA4">
              <w:rPr>
                <w:color w:val="000000" w:themeColor="text1"/>
              </w:rPr>
              <w:t>)</w:t>
            </w:r>
          </w:p>
        </w:tc>
      </w:tr>
      <w:tr w:rsidR="00AB5AFE" w:rsidRPr="005840DA" w:rsidTr="004C05E2">
        <w:tc>
          <w:tcPr>
            <w:tcW w:w="534" w:type="dxa"/>
          </w:tcPr>
          <w:p w:rsidR="00AB5AFE" w:rsidRPr="005840DA" w:rsidRDefault="00AB5AF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5840DA" w:rsidRPr="005840DA" w:rsidRDefault="005840DA" w:rsidP="00067A3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деятельности:</w:t>
            </w:r>
          </w:p>
          <w:p w:rsidR="00587828" w:rsidRPr="005840DA" w:rsidRDefault="005840DA" w:rsidP="00067A3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по разведению племенного мясного крупного рогатого скота (при приобретении племенного молодняка крупного рогатого скота мясного направления продуктивности), племенного молочного крупного рогатого скота (при</w:t>
            </w:r>
            <w:r w:rsidR="0058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28" w:rsidRPr="005840DA">
              <w:rPr>
                <w:rFonts w:ascii="Times New Roman" w:hAnsi="Times New Roman" w:cs="Times New Roman"/>
                <w:sz w:val="24"/>
                <w:szCs w:val="24"/>
              </w:rPr>
              <w:t>приобретении племенного молодняка крупного рогатого скота молочного направления продуктивности) – требование к участникам отбора, являющимся племенными хозяйствами;</w:t>
            </w:r>
          </w:p>
          <w:p w:rsidR="00AB5AFE" w:rsidRPr="005840DA" w:rsidRDefault="00587828" w:rsidP="00067A3E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по разведению мясного крупного рогатого скота (при приобретении племенного молодняка крупного рогатого скота мясного направления продуктивности), молочного крупного рогатого скота (при приобретении племенного молодняка крупного рогатого скота молочного направления продуктивности) – требование к участникам отбора, не являющимся племенными хозяйствами</w:t>
            </w:r>
            <w:r w:rsidR="005840DA"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B5AFE" w:rsidRPr="005840DA" w:rsidRDefault="00DE3634" w:rsidP="004C05E2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84BA4">
              <w:rPr>
                <w:color w:val="000000" w:themeColor="text1"/>
              </w:rPr>
              <w:t>Заявка (</w:t>
            </w:r>
            <w:r w:rsidRPr="00684BA4">
              <w:t>проставление отметки о соответствии</w:t>
            </w:r>
            <w:r w:rsidRPr="00684BA4">
              <w:rPr>
                <w:color w:val="000000" w:themeColor="text1"/>
              </w:rPr>
              <w:t>)</w:t>
            </w:r>
          </w:p>
        </w:tc>
      </w:tr>
      <w:tr w:rsidR="00286011" w:rsidRPr="005840DA" w:rsidTr="004C05E2">
        <w:tc>
          <w:tcPr>
            <w:tcW w:w="534" w:type="dxa"/>
          </w:tcPr>
          <w:p w:rsidR="00286011" w:rsidRPr="005840DA" w:rsidRDefault="009272B7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86011" w:rsidRDefault="0069377D" w:rsidP="004B0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0DA" w:rsidRPr="005840DA">
              <w:rPr>
                <w:rFonts w:ascii="Times New Roman" w:hAnsi="Times New Roman" w:cs="Times New Roman"/>
                <w:sz w:val="24"/>
                <w:szCs w:val="24"/>
              </w:rPr>
              <w:t>аличие у участника отбора на территории Республики Хакасия племенного стада крупного рогатого скота, зарегистрированного в государственном племенном регистре, – требование к участникам отбора, являющимся племенными хозяйствами</w:t>
            </w:r>
          </w:p>
          <w:p w:rsidR="004C05E2" w:rsidRPr="005840DA" w:rsidRDefault="004C05E2" w:rsidP="00AD2EF2">
            <w:pPr>
              <w:pStyle w:val="ConsPlusNormal"/>
              <w:ind w:firstLine="0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4C05E2" w:rsidRDefault="004C05E2" w:rsidP="004C0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государственном племенном регистре, выданное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Министерством сельского хозяйства Российской Федерации</w:t>
            </w:r>
            <w:r w:rsidR="00FC1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011" w:rsidRPr="005840DA" w:rsidRDefault="00FC15A3" w:rsidP="00FC15A3">
            <w:pPr>
              <w:pStyle w:val="ConsPlusNormal"/>
              <w:ind w:firstLine="0"/>
              <w:jc w:val="both"/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 о движении скота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форме, утвержденной Минсельхозпродом РХ,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 отбора,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являющим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ся племенными хозяйствами</w:t>
            </w:r>
          </w:p>
        </w:tc>
      </w:tr>
      <w:tr w:rsidR="00286011" w:rsidRPr="00684BA4" w:rsidTr="004C05E2">
        <w:tc>
          <w:tcPr>
            <w:tcW w:w="534" w:type="dxa"/>
          </w:tcPr>
          <w:p w:rsidR="00286011" w:rsidRPr="00161326" w:rsidRDefault="009272B7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86011" w:rsidRPr="005840DA" w:rsidRDefault="0069377D" w:rsidP="004B0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частником отбора приобретены нетели и (или) телки, и (или) бычки до двух лет</w:t>
            </w:r>
          </w:p>
        </w:tc>
        <w:tc>
          <w:tcPr>
            <w:tcW w:w="2268" w:type="dxa"/>
            <w:shd w:val="clear" w:color="auto" w:fill="auto"/>
          </w:tcPr>
          <w:p w:rsidR="0083027A" w:rsidRDefault="0083027A" w:rsidP="0083027A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Договор, </w:t>
            </w:r>
          </w:p>
          <w:p w:rsidR="00286011" w:rsidRPr="00684BA4" w:rsidRDefault="0083027A" w:rsidP="0083027A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4521F">
              <w:rPr>
                <w:color w:val="000000"/>
              </w:rPr>
              <w:t>акт приема-передачи (с описью приобретенных животных), счет и (или) счет-фактура</w:t>
            </w:r>
          </w:p>
        </w:tc>
      </w:tr>
      <w:tr w:rsidR="00286011" w:rsidRPr="005840DA" w:rsidTr="0083027A">
        <w:tc>
          <w:tcPr>
            <w:tcW w:w="534" w:type="dxa"/>
          </w:tcPr>
          <w:p w:rsidR="00286011" w:rsidRPr="00161326" w:rsidRDefault="005F4428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86011" w:rsidRPr="005840DA" w:rsidRDefault="0069377D" w:rsidP="008302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" w:name="Par12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леменной молодняк сельскохозяйственных животных приобретен участником отбора в период с </w:t>
            </w:r>
            <w:r w:rsidR="00DE3634" w:rsidRPr="004C05E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 года по октябрь (включительно) 202</w:t>
            </w:r>
            <w:r w:rsidR="008F4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286011" w:rsidRPr="005840DA" w:rsidRDefault="0083027A" w:rsidP="00830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оварная накладная, племенное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идетельство на каждое животное,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сопроводительн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документ</w:t>
            </w:r>
          </w:p>
        </w:tc>
      </w:tr>
      <w:tr w:rsidR="00286011" w:rsidRPr="005840DA" w:rsidTr="0083027A">
        <w:tc>
          <w:tcPr>
            <w:tcW w:w="534" w:type="dxa"/>
          </w:tcPr>
          <w:p w:rsidR="00286011" w:rsidRPr="00161326" w:rsidRDefault="005F4428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B5AFE"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86011" w:rsidRPr="005840DA" w:rsidRDefault="0069377D" w:rsidP="004B0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леменной молодняк сельскохозяйственных животных приобретен участником отбора в племенном хозяйстве, осуществляющем разведение племенных животных</w:t>
            </w:r>
          </w:p>
        </w:tc>
        <w:tc>
          <w:tcPr>
            <w:tcW w:w="2268" w:type="dxa"/>
            <w:shd w:val="clear" w:color="auto" w:fill="auto"/>
          </w:tcPr>
          <w:p w:rsidR="00286011" w:rsidRPr="005840DA" w:rsidRDefault="0083027A" w:rsidP="0083027A">
            <w:pPr>
              <w:pStyle w:val="ConsPlusNormal"/>
              <w:ind w:firstLine="0"/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регистрации в государственном племенном регистре, выданно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истерством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яйства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</w:t>
            </w:r>
          </w:p>
        </w:tc>
      </w:tr>
      <w:tr w:rsidR="00AD2EF2" w:rsidRPr="005840DA" w:rsidTr="0083027A">
        <w:tc>
          <w:tcPr>
            <w:tcW w:w="534" w:type="dxa"/>
          </w:tcPr>
          <w:p w:rsidR="00AD2EF2" w:rsidRPr="00161326" w:rsidRDefault="00AD2EF2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D2EF2" w:rsidRDefault="00AD2EF2" w:rsidP="00FC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плата (путем безналичного расчета) участником отбора стоимости приобретенного племенного молодняка</w:t>
            </w:r>
            <w:r w:rsidR="0058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28" w:rsidRPr="005840D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 в полном объеме</w:t>
            </w:r>
          </w:p>
        </w:tc>
        <w:tc>
          <w:tcPr>
            <w:tcW w:w="2268" w:type="dxa"/>
            <w:shd w:val="clear" w:color="auto" w:fill="auto"/>
          </w:tcPr>
          <w:p w:rsidR="00AD2EF2" w:rsidRDefault="00AD2EF2" w:rsidP="00830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CA7023" w:rsidRPr="00684BA4" w:rsidTr="00AD2EF2">
        <w:tc>
          <w:tcPr>
            <w:tcW w:w="534" w:type="dxa"/>
          </w:tcPr>
          <w:p w:rsidR="00CA7023" w:rsidRPr="00161326" w:rsidRDefault="00CA7023" w:rsidP="00CA7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CA7023" w:rsidRDefault="00CA7023" w:rsidP="004B0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>аличие у участника отбора в Республике Хакасия приобретенного племенного молодняка</w:t>
            </w:r>
            <w:r w:rsidR="008F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0DA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по состоянию на дату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2268" w:type="dxa"/>
            <w:shd w:val="clear" w:color="auto" w:fill="auto"/>
          </w:tcPr>
          <w:p w:rsidR="00CA7023" w:rsidRPr="00AD2EF2" w:rsidRDefault="00AD2EF2" w:rsidP="00AD2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 о движении скота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форме, утвержденной Минсельхозпродом РХ</w:t>
            </w:r>
          </w:p>
        </w:tc>
      </w:tr>
      <w:tr w:rsidR="00CA7023" w:rsidRPr="00AD2EF2" w:rsidTr="00AD2EF2">
        <w:tc>
          <w:tcPr>
            <w:tcW w:w="534" w:type="dxa"/>
          </w:tcPr>
          <w:p w:rsidR="00CA7023" w:rsidRPr="00AD2EF2" w:rsidRDefault="00CA7023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CA7023" w:rsidRPr="00AD2EF2" w:rsidRDefault="00CA7023" w:rsidP="004B0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>Сохранение или увеличение численности маточного поголовья крупного рогатого скота по состоянию на 01 января 202</w:t>
            </w:r>
            <w:r w:rsidR="008F4854" w:rsidRPr="00AD2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 xml:space="preserve"> года в сравнении с численностью маточного поголовья крупного рогатого скота по состоянию на 01 января 202</w:t>
            </w:r>
            <w:r w:rsidR="008F4854" w:rsidRPr="00AD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EF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31932">
              <w:rPr>
                <w:rFonts w:ascii="Times New Roman" w:hAnsi="Times New Roman" w:cs="Times New Roman"/>
                <w:sz w:val="24"/>
                <w:szCs w:val="24"/>
              </w:rPr>
              <w:t>– требование не распространяется на участников отбора, у которых скот был изъят при ликвидации очага заразного узелкового дерматита</w:t>
            </w:r>
          </w:p>
        </w:tc>
        <w:tc>
          <w:tcPr>
            <w:tcW w:w="2268" w:type="dxa"/>
            <w:shd w:val="clear" w:color="auto" w:fill="auto"/>
          </w:tcPr>
          <w:p w:rsidR="00AD2EF2" w:rsidRPr="00AD2EF2" w:rsidRDefault="00AD2EF2" w:rsidP="00AD2EF2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AD2EF2">
              <w:rPr>
                <w:color w:val="000000" w:themeColor="text1"/>
              </w:rPr>
              <w:t>Заявка (</w:t>
            </w:r>
            <w:r w:rsidRPr="00AD2EF2">
              <w:t>проставление отметки о соответствии</w:t>
            </w:r>
            <w:r w:rsidRPr="00AD2EF2">
              <w:rPr>
                <w:color w:val="000000" w:themeColor="text1"/>
              </w:rPr>
              <w:t>)</w:t>
            </w:r>
          </w:p>
          <w:p w:rsidR="00CA7023" w:rsidRPr="00AD2EF2" w:rsidRDefault="00AD2EF2" w:rsidP="00AD2EF2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D2EF2">
              <w:rPr>
                <w:color w:val="000000"/>
              </w:rPr>
              <w:t>акт, подтверждающ</w:t>
            </w:r>
            <w:r>
              <w:rPr>
                <w:color w:val="000000"/>
              </w:rPr>
              <w:t>ий</w:t>
            </w:r>
            <w:r w:rsidRPr="00AD2EF2">
              <w:rPr>
                <w:color w:val="000000"/>
              </w:rPr>
              <w:t xml:space="preserve"> изъятие крупного рогатого скота (при наличии)</w:t>
            </w:r>
          </w:p>
        </w:tc>
      </w:tr>
    </w:tbl>
    <w:p w:rsidR="000063EC" w:rsidRPr="000063EC" w:rsidRDefault="000063EC" w:rsidP="000063E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394" w:rsidRPr="00AA313C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организации отбора </w:t>
      </w:r>
      <w:r w:rsidRPr="005F4428">
        <w:rPr>
          <w:rFonts w:ascii="Times New Roman" w:hAnsi="Times New Roman" w:cs="Times New Roman"/>
          <w:sz w:val="24"/>
          <w:szCs w:val="24"/>
        </w:rPr>
        <w:t>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34753A" w:rsidTr="00161326">
        <w:tc>
          <w:tcPr>
            <w:tcW w:w="540" w:type="dxa"/>
          </w:tcPr>
          <w:p w:rsidR="00306340" w:rsidRPr="0034753A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306340" w:rsidRPr="000528B7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5F4428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16304" w:rsidRPr="0034753A" w:rsidTr="00161326">
        <w:tc>
          <w:tcPr>
            <w:tcW w:w="540" w:type="dxa"/>
          </w:tcPr>
          <w:p w:rsidR="00416304" w:rsidRPr="0034753A" w:rsidRDefault="0041630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416304" w:rsidRPr="000528B7" w:rsidRDefault="0041630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16304" w:rsidRDefault="0041630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394" w:rsidRPr="005F4428" w:rsidTr="00161326">
        <w:tc>
          <w:tcPr>
            <w:tcW w:w="540" w:type="dxa"/>
          </w:tcPr>
          <w:p w:rsidR="00DC7394" w:rsidRPr="005F4428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0B008C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5F4428" w:rsidRDefault="00DC7394" w:rsidP="00011A9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0063EC" w:rsidTr="00416304">
        <w:tc>
          <w:tcPr>
            <w:tcW w:w="540" w:type="dxa"/>
            <w:shd w:val="clear" w:color="auto" w:fill="auto"/>
          </w:tcPr>
          <w:p w:rsidR="00DC7394" w:rsidRPr="000063EC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0B008C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B7966" w:rsidRPr="000063EC" w:rsidRDefault="001F144D" w:rsidP="00081D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08:00</w:t>
            </w:r>
          </w:p>
        </w:tc>
      </w:tr>
      <w:tr w:rsidR="006E3EED" w:rsidRPr="000063EC" w:rsidTr="00416304">
        <w:tc>
          <w:tcPr>
            <w:tcW w:w="540" w:type="dxa"/>
            <w:shd w:val="clear" w:color="auto" w:fill="auto"/>
          </w:tcPr>
          <w:p w:rsidR="006E3EED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0B008C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6E3EED" w:rsidRPr="000063EC" w:rsidRDefault="001F144D" w:rsidP="00116C2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116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072CB" w:rsidRPr="000063EC" w:rsidTr="0016132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0B008C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5072CB" w:rsidRDefault="005072CB" w:rsidP="00011A94">
            <w:pPr>
              <w:pStyle w:val="afe"/>
              <w:spacing w:before="0" w:beforeAutospacing="0" w:after="0" w:afterAutospacing="0"/>
              <w:ind w:firstLine="34"/>
              <w:jc w:val="both"/>
              <w:rPr>
                <w:color w:val="000000" w:themeColor="text1"/>
              </w:rPr>
            </w:pPr>
            <w:r w:rsidRPr="005072CB">
              <w:rPr>
                <w:color w:val="000000"/>
              </w:rPr>
              <w:t>З</w:t>
            </w:r>
            <w:r w:rsidRPr="005072CB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>
              <w:t xml:space="preserve">государственной </w:t>
            </w:r>
            <w:r w:rsidR="00AD005C">
              <w:t xml:space="preserve">информационной системы управления общественными финансами «Электронный бюджет» (далее – </w:t>
            </w:r>
            <w:r w:rsidRPr="005072CB">
              <w:t>систем</w:t>
            </w:r>
            <w:r w:rsidR="00AD005C">
              <w:t>а</w:t>
            </w:r>
            <w:r w:rsidRPr="005072CB">
              <w:t xml:space="preserve"> «Электронный бюджет»</w:t>
            </w:r>
            <w:r w:rsidR="00AD005C">
              <w:t>)</w:t>
            </w:r>
            <w:r w:rsidRPr="005072CB">
      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</w:t>
            </w:r>
            <w:r>
              <w:t xml:space="preserve">входящих в состав заявки, и </w:t>
            </w:r>
            <w:r w:rsidRPr="005072CB">
              <w:t>подписыва</w:t>
            </w:r>
            <w:r>
              <w:t>ю</w:t>
            </w:r>
            <w:r w:rsidRPr="005072CB">
              <w:t>тся усиленной квалифицированной электронной подписью руководителя участника отбора (уполномоченного им лица)</w:t>
            </w:r>
          </w:p>
        </w:tc>
      </w:tr>
      <w:tr w:rsidR="005072CB" w:rsidRPr="000063EC" w:rsidTr="0016132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9043AA" w:rsidRDefault="00FC15A3" w:rsidP="00FC1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</w:t>
            </w:r>
            <w:r w:rsidR="009043AA" w:rsidRPr="0090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содержит все документы, перечень которых предусмотрен строкой 6 настоящей таблицы;</w:t>
            </w:r>
          </w:p>
          <w:p w:rsidR="005072CB" w:rsidRPr="005072CB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 руководителя участника отбора;</w:t>
            </w:r>
          </w:p>
          <w:p w:rsidR="005072CB" w:rsidRPr="005072CB" w:rsidRDefault="005072CB" w:rsidP="00FC15A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электронные копии документов, включаемые в заявку, должны иметь распространенные открытые форматы, обеспечивающие возможность</w:t>
            </w:r>
            <w:r w:rsidR="00416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просмотра</w:t>
            </w:r>
            <w:r w:rsidR="0058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7828"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7394" w:rsidRPr="000063EC" w:rsidTr="00161326">
        <w:tc>
          <w:tcPr>
            <w:tcW w:w="540" w:type="dxa"/>
            <w:shd w:val="clear" w:color="auto" w:fill="auto"/>
          </w:tcPr>
          <w:p w:rsidR="00DC7394" w:rsidRPr="000063EC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0B008C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DC7394" w:rsidRPr="000063EC" w:rsidRDefault="00DC7394" w:rsidP="0041630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расчет размера субсидии, причитающегося получателю субсидии</w:t>
            </w:r>
            <w:r w:rsidR="0068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</w:t>
            </w:r>
            <w:r w:rsidRPr="00006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828" w:rsidRDefault="00221F5A" w:rsidP="00587828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94521F">
              <w:rPr>
                <w:color w:val="000000"/>
              </w:rPr>
              <w:t xml:space="preserve">2) </w:t>
            </w:r>
            <w:r w:rsidR="00587828">
              <w:t>п</w:t>
            </w:r>
            <w:r w:rsidR="00587828" w:rsidRPr="00C334A0">
              <w:t>равоустанавливающие и (или) правоудостоверяющие документы на земельные участки</w:t>
            </w:r>
            <w:r w:rsidR="00587828">
              <w:t xml:space="preserve"> (в</w:t>
            </w:r>
            <w:r w:rsidR="00587828" w:rsidRPr="00C334A0">
              <w:t>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  <w:r w:rsidR="00587828">
              <w:t>);</w:t>
            </w:r>
          </w:p>
          <w:p w:rsidR="00221F5A" w:rsidRPr="0094521F" w:rsidRDefault="00587828" w:rsidP="0041630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221F5A"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21F5A"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1F5A"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племенного молодняка сельскохозяйственных животных (договор, акт приема-передачи (с описью приобретенных животных), счет и (или) счет-фактура, товарная накладная, племенное свидетельство на каждое животное);</w:t>
            </w:r>
          </w:p>
          <w:p w:rsidR="00221F5A" w:rsidRPr="0094521F" w:rsidRDefault="00221F5A" w:rsidP="0041630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платежны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подтверждающи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оплату стоимости приобретенного племенного молодняка сельскохозяйственных животных в полном объеме;</w:t>
            </w:r>
          </w:p>
          <w:p w:rsidR="00221F5A" w:rsidRPr="0094521F" w:rsidRDefault="00221F5A" w:rsidP="0041630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свидетельств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регистрации в государственном племенном регистре, выданно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истерством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яйства Российской Федерации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подтверждающе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регистрацию племенного стада участника отбора в государственном племенном регистре, – представляется участниками отбора, являющимися племенными хозяйствами</w:t>
            </w:r>
            <w:r w:rsidR="0041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 отбора вправе не представлять)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1F5A" w:rsidRPr="0094521F" w:rsidRDefault="00221F5A" w:rsidP="0041630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свидетельств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регистрации в государственном племенном регистре, выданно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истерством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яйства 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подтверждающе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регистрацию племенного стада продавца племенного молодняка сельскохозяйственных животных в государственном племенном регистре</w:t>
            </w:r>
            <w:r w:rsidR="0041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 отбора вправе не представлять)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1F5A" w:rsidRPr="0094521F" w:rsidRDefault="00221F5A" w:rsidP="0041630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ветеринарн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сопроводительн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 w:rsidR="0041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 отбора вправе не представлять)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1F5A" w:rsidRPr="0094521F" w:rsidRDefault="00221F5A" w:rsidP="00193C60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отчет о движении скота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форме, утвержденной Минсельхозпродом РХ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содержащий сведения о наличии у участника отбора в Республике Хакасия поголовья сельскохозяйственных животных по состоянию на дату подачи предложения;</w:t>
            </w:r>
          </w:p>
          <w:p w:rsidR="00587828" w:rsidRPr="0094521F" w:rsidRDefault="00221F5A" w:rsidP="00193C60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уведомлени</w:t>
            </w:r>
            <w:r w:rsid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 (</w:t>
            </w:r>
            <w:hyperlink r:id="rId11" w:history="1">
              <w:r w:rsidRPr="009452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форма</w:t>
              </w:r>
            </w:hyperlink>
            <w:r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приложению  к приказу Министерства финансов Российской Федерации от 26.12.2018 № 286н «Об утверждении форм </w:t>
            </w:r>
            <w:r w:rsidR="00587828" w:rsidRPr="0094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стоимость» с отметкой налогового органа о получении), – представляется, если участник отбора использовал право на освобождение от исполнения обязанностей налогоплательщика, связанных с исчислением и уплатой налога на добавленную стоимость;</w:t>
            </w:r>
          </w:p>
          <w:p w:rsidR="00221F5A" w:rsidRDefault="00587828" w:rsidP="0058782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акт, подтверждающ</w:t>
            </w:r>
            <w:r w:rsidR="0019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41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изъятие крупного рогатого скота при ликвидации очага заразного узелкового дерматита (при наличии)</w:t>
            </w:r>
            <w:r w:rsidR="00193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3C60" w:rsidRPr="000063EC" w:rsidRDefault="00193C60" w:rsidP="00193C60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99D" w:rsidRPr="006A3780" w:rsidTr="00161326">
        <w:tc>
          <w:tcPr>
            <w:tcW w:w="540" w:type="dxa"/>
            <w:shd w:val="clear" w:color="auto" w:fill="auto"/>
          </w:tcPr>
          <w:p w:rsidR="0029099D" w:rsidRPr="006A378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6A3780" w:rsidRDefault="006A3780" w:rsidP="00011A94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6A378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AA313C" w:rsidTr="00161326">
        <w:tc>
          <w:tcPr>
            <w:tcW w:w="540" w:type="dxa"/>
            <w:shd w:val="clear" w:color="auto" w:fill="auto"/>
          </w:tcPr>
          <w:p w:rsidR="0029099D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e"/>
              <w:spacing w:before="0" w:beforeAutospacing="0" w:after="0" w:afterAutospacing="0"/>
            </w:pPr>
            <w:r w:rsidRPr="000B008C">
              <w:t>Порядок в</w:t>
            </w:r>
            <w:r w:rsidR="0029099D" w:rsidRPr="000B008C">
              <w:t>несени</w:t>
            </w:r>
            <w:r w:rsidRPr="000B008C">
              <w:t>я</w:t>
            </w:r>
            <w:r w:rsidR="0029099D" w:rsidRPr="000B008C">
              <w:t xml:space="preserve"> изменений в заявки </w:t>
            </w:r>
          </w:p>
          <w:p w:rsidR="0029099D" w:rsidRPr="000B008C" w:rsidRDefault="0029099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A3780" w:rsidRPr="00AA313C" w:rsidRDefault="006A3780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AA313C" w:rsidRPr="00AA313C" w:rsidRDefault="006A3780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C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      </w:r>
          </w:p>
          <w:p w:rsidR="0029099D" w:rsidRPr="00AA313C" w:rsidRDefault="00AA313C" w:rsidP="00011A9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решению Минсельхозпрода РХ о возврате з</w:t>
            </w:r>
            <w:r w:rsidR="006A3780" w:rsidRPr="00AA313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</w:t>
            </w: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313C" w:rsidRPr="00AA313C" w:rsidTr="00161326">
        <w:tc>
          <w:tcPr>
            <w:tcW w:w="540" w:type="dxa"/>
            <w:shd w:val="clear" w:color="auto" w:fill="auto"/>
          </w:tcPr>
          <w:p w:rsidR="00AA313C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AA313C" w:rsidRPr="000B008C" w:rsidRDefault="00AA313C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F847C2" w:rsidRPr="00C334A0" w:rsidRDefault="00F847C2" w:rsidP="00832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F847C2" w:rsidRPr="00C334A0" w:rsidRDefault="00F847C2" w:rsidP="00832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237282" w:rsidRPr="00C334A0" w:rsidRDefault="00F847C2" w:rsidP="00832FD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282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подписи и (или) печати (при наличии ее у участника отбора) </w:t>
            </w:r>
            <w:r w:rsidR="00521CCC">
              <w:rPr>
                <w:rFonts w:ascii="Times New Roman" w:hAnsi="Times New Roman" w:cs="Times New Roman"/>
                <w:sz w:val="24"/>
                <w:szCs w:val="24"/>
              </w:rPr>
              <w:t>на документах</w:t>
            </w:r>
            <w:r w:rsidR="00237282" w:rsidRPr="00C334A0">
              <w:rPr>
                <w:rFonts w:ascii="Times New Roman" w:hAnsi="Times New Roman" w:cs="Times New Roman"/>
                <w:sz w:val="24"/>
                <w:szCs w:val="24"/>
              </w:rPr>
              <w:t>, представленны</w:t>
            </w:r>
            <w:r w:rsidR="00521C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7282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заявки;</w:t>
            </w:r>
          </w:p>
          <w:p w:rsidR="00F847C2" w:rsidRPr="00C334A0" w:rsidRDefault="00F847C2" w:rsidP="00832FD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F847C2" w:rsidRPr="00C334A0" w:rsidRDefault="00F847C2" w:rsidP="00832FD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F847C2" w:rsidRPr="00C334A0" w:rsidRDefault="00F847C2" w:rsidP="00832FD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F847C2" w:rsidRPr="00C334A0" w:rsidRDefault="00F847C2" w:rsidP="00832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отбора должен 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скорректированную заявку, возвращенную на доработку, в срок, не позднее дня окончания срока рассмотрения заявок.</w:t>
            </w:r>
          </w:p>
          <w:p w:rsidR="00AA313C" w:rsidRPr="000063EC" w:rsidRDefault="00F847C2" w:rsidP="00F847C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 подачи доработанных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304" w:rsidRPr="00AA313C" w:rsidTr="00161326">
        <w:tc>
          <w:tcPr>
            <w:tcW w:w="540" w:type="dxa"/>
            <w:shd w:val="clear" w:color="auto" w:fill="auto"/>
          </w:tcPr>
          <w:p w:rsidR="00416304" w:rsidRDefault="0041630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416304" w:rsidRPr="000B008C" w:rsidRDefault="00416304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416304" w:rsidRPr="00587828" w:rsidRDefault="00416304" w:rsidP="00416304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587828" w:rsidRPr="00587828" w:rsidRDefault="00416304" w:rsidP="0058782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  <w:r w:rsidR="00587828" w:rsidRPr="0058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828" w:rsidRPr="00587828" w:rsidRDefault="00587828" w:rsidP="0058782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8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587828" w:rsidRPr="00587828" w:rsidRDefault="00587828" w:rsidP="00587828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87828">
              <w:t xml:space="preserve">2) непредставление (представление не в полном объеме) документов, указанных в объявлении о проведении отбора; </w:t>
            </w:r>
          </w:p>
          <w:p w:rsidR="00587828" w:rsidRPr="00587828" w:rsidRDefault="00587828" w:rsidP="00587828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87828">
              <w:t xml:space="preserve">3)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B50E14" w:rsidRDefault="00587828" w:rsidP="0024553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28">
              <w:rPr>
                <w:rFonts w:ascii="Times New Roman" w:hAnsi="Times New Roman" w:cs="Times New Roman"/>
                <w:sz w:val="24"/>
                <w:szCs w:val="24"/>
              </w:rPr>
              <w:t>4) недостоверность информации, содержащейся в документах, представленных в составе заявки.</w:t>
            </w:r>
            <w:r w:rsidRPr="00B50E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099D" w:rsidRPr="00CF6B36" w:rsidTr="00161326">
        <w:tc>
          <w:tcPr>
            <w:tcW w:w="540" w:type="dxa"/>
            <w:shd w:val="clear" w:color="auto" w:fill="auto"/>
          </w:tcPr>
          <w:p w:rsidR="0029099D" w:rsidRPr="00CF6B36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29099D" w:rsidP="000B008C">
            <w:pPr>
              <w:pStyle w:val="afe"/>
              <w:spacing w:before="0" w:beforeAutospacing="0" w:after="0" w:afterAutospacing="0"/>
            </w:pPr>
            <w:r w:rsidRPr="000B008C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CF6B36" w:rsidRPr="005069F3" w:rsidRDefault="00CF6B36" w:rsidP="00CF6B36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F6B36">
              <w:rPr>
                <w:color w:val="000000" w:themeColor="text1"/>
              </w:rPr>
              <w:t xml:space="preserve"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      </w:r>
            <w:r w:rsidRPr="005069F3">
              <w:rPr>
                <w:color w:val="000000" w:themeColor="text1"/>
              </w:rPr>
              <w:t>субсидии, равный значению размера, указанному им в заявке, рассчитанному в соответствии с</w:t>
            </w:r>
            <w:r w:rsidR="00416304"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 w:rsidR="00416304">
                <w:rPr>
                  <w:color w:val="000000" w:themeColor="text1"/>
                </w:rPr>
                <w:t>ом</w:t>
              </w:r>
              <w:r w:rsidRPr="005069F3">
                <w:rPr>
                  <w:color w:val="000000" w:themeColor="text1"/>
                </w:rPr>
                <w:t xml:space="preserve"> </w:t>
              </w:r>
              <w:r w:rsidR="00416304">
                <w:rPr>
                  <w:color w:val="000000" w:themeColor="text1"/>
                </w:rPr>
                <w:t>4</w:t>
              </w:r>
            </w:hyperlink>
            <w:r w:rsidRPr="005069F3">
              <w:rPr>
                <w:color w:val="000000" w:themeColor="text1"/>
              </w:rPr>
              <w:t xml:space="preserve"> настоящего Решения. </w:t>
            </w:r>
          </w:p>
          <w:p w:rsidR="00CF6B36" w:rsidRPr="005069F3" w:rsidRDefault="00CF6B36" w:rsidP="00CF6B36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5069F3"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      </w:r>
            <w:r w:rsidRPr="005069F3">
              <w:rPr>
                <w:color w:val="000000" w:themeColor="text1"/>
              </w:rPr>
              <w:t xml:space="preserve">рассчитанному в соответствии с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 w:rsidR="00416304">
                <w:rPr>
                  <w:color w:val="000000" w:themeColor="text1"/>
                </w:rPr>
                <w:t>ом 4</w:t>
              </w:r>
            </w:hyperlink>
            <w:r w:rsidRPr="005069F3">
              <w:rPr>
                <w:color w:val="000000" w:themeColor="text1"/>
              </w:rPr>
              <w:t xml:space="preserve"> настоящего Решения</w:t>
            </w:r>
            <w:r w:rsidRPr="005069F3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CF6B36" w:rsidP="0041630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5069F3">
              <w:t xml:space="preserve">В случае если размер субсидии, указанный участником отбора в заявке, </w:t>
            </w:r>
            <w:r w:rsidRPr="005069F3">
              <w:rPr>
                <w:color w:val="000000" w:themeColor="text1"/>
              </w:rPr>
              <w:t xml:space="preserve">рассчитанный в соответствии с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 w:rsidR="00416304">
                <w:rPr>
                  <w:color w:val="000000" w:themeColor="text1"/>
                </w:rPr>
                <w:t>ом 4</w:t>
              </w:r>
            </w:hyperlink>
            <w:r w:rsidRPr="005069F3">
              <w:rPr>
                <w:color w:val="000000" w:themeColor="text1"/>
              </w:rPr>
              <w:t xml:space="preserve"> настоящего Решения,</w:t>
            </w:r>
            <w:r w:rsidRPr="005069F3">
              <w:t xml:space="preserve"> больше нераспределенного размера субсидии, такому участнику</w:t>
            </w:r>
            <w:r w:rsidRPr="00CF6B36">
              <w:t xml:space="preserve">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F6B36">
              <w:rPr>
                <w:color w:val="000000" w:themeColor="text1"/>
              </w:rPr>
              <w:t>предоставления субсидии.</w:t>
            </w:r>
          </w:p>
          <w:p w:rsidR="0024553C" w:rsidRPr="00CF6B36" w:rsidRDefault="0024553C" w:rsidP="00416304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ED2B10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</w:p>
        </w:tc>
      </w:tr>
      <w:tr w:rsidR="00703A25" w:rsidRPr="000063EC" w:rsidTr="00161326">
        <w:tc>
          <w:tcPr>
            <w:tcW w:w="540" w:type="dxa"/>
          </w:tcPr>
          <w:p w:rsidR="00703A25" w:rsidRPr="000063EC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03A25" w:rsidRPr="000B008C" w:rsidRDefault="00703A25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участнику отбора разъяснений положений объявления о проведении отбора </w:t>
            </w:r>
          </w:p>
        </w:tc>
        <w:tc>
          <w:tcPr>
            <w:tcW w:w="5954" w:type="dxa"/>
          </w:tcPr>
          <w:p w:rsidR="00703A25" w:rsidRPr="000063EC" w:rsidRDefault="00703A25" w:rsidP="00011A94">
            <w:pPr>
              <w:pStyle w:val="afe"/>
              <w:spacing w:before="0" w:beforeAutospacing="0" w:after="0" w:afterAutospacing="0" w:line="288" w:lineRule="atLeast"/>
              <w:jc w:val="both"/>
              <w:rPr>
                <w:color w:val="000000" w:themeColor="text1"/>
              </w:rPr>
            </w:pPr>
            <w:r>
              <w:t xml:space="preserve">В ответ на запрос участника отбора </w:t>
            </w:r>
            <w:bookmarkStart w:id="3" w:name="p0"/>
            <w:bookmarkEnd w:id="3"/>
            <w:r>
              <w:t xml:space="preserve">о разъяснении положений объявления о проведении отбора Минсельхозпрод РХ направляет разъяснение положений объявления о проведении отбора </w:t>
            </w:r>
            <w:r w:rsidRPr="000063EC">
              <w:t>в течение трех рабочих дней со дня получения запроса, но не позднее одного рабочего дня до дня завершения подачи заявок</w:t>
            </w:r>
            <w:r>
              <w:t xml:space="preserve">, путем формирования в системе «Электронный бюджет» соответствующего разъяснения. </w:t>
            </w:r>
          </w:p>
        </w:tc>
      </w:tr>
      <w:tr w:rsidR="000727A1" w:rsidRPr="00927428" w:rsidTr="00161326">
        <w:tc>
          <w:tcPr>
            <w:tcW w:w="540" w:type="dxa"/>
          </w:tcPr>
          <w:p w:rsidR="000727A1" w:rsidRPr="00927428" w:rsidRDefault="000727A1" w:rsidP="0061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927428" w:rsidRDefault="000727A1" w:rsidP="00011A94">
            <w:pPr>
              <w:pStyle w:val="afa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62FD2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927428" w:rsidRDefault="000727A1" w:rsidP="00011A94">
            <w:pPr>
              <w:pStyle w:val="ConsPlusNormal"/>
              <w:ind w:left="33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161326">
        <w:tc>
          <w:tcPr>
            <w:tcW w:w="540" w:type="dxa"/>
          </w:tcPr>
          <w:p w:rsidR="000727A1" w:rsidRPr="00927428" w:rsidRDefault="000727A1" w:rsidP="0061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727A1" w:rsidRPr="000B008C" w:rsidRDefault="000727A1" w:rsidP="0035228A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0B008C">
              <w:t xml:space="preserve">Срок, в течение которого победитель отбора, не подписавший соглашение о предоставлении </w:t>
            </w:r>
            <w:r w:rsidR="00587828" w:rsidRPr="000B008C">
              <w:t>субсидии и не направивший возражения по проекту соглашения, признается уклонившимся от заключения соглашения о предоставлении субсидии</w:t>
            </w:r>
          </w:p>
        </w:tc>
        <w:tc>
          <w:tcPr>
            <w:tcW w:w="5954" w:type="dxa"/>
          </w:tcPr>
          <w:p w:rsidR="000727A1" w:rsidRPr="00927428" w:rsidRDefault="00416304" w:rsidP="00416304">
            <w:pPr>
              <w:pStyle w:val="afe"/>
              <w:spacing w:before="0" w:beforeAutospacing="0" w:after="0" w:afterAutospacing="0"/>
              <w:ind w:left="33" w:firstLine="1"/>
              <w:jc w:val="both"/>
              <w:rPr>
                <w:color w:val="000000" w:themeColor="text1"/>
              </w:rPr>
            </w:pPr>
            <w:r w:rsidRPr="00FC15A3">
              <w:t>7</w:t>
            </w:r>
            <w:r w:rsidR="000727A1" w:rsidRPr="00FC15A3">
              <w:t xml:space="preserve"> рабочих дней со дня </w:t>
            </w:r>
            <w:r w:rsidRPr="00FC15A3">
              <w:t>определения победителей отбора</w:t>
            </w:r>
          </w:p>
        </w:tc>
      </w:tr>
      <w:tr w:rsidR="000727A1" w:rsidRPr="00927428" w:rsidTr="00161326">
        <w:tc>
          <w:tcPr>
            <w:tcW w:w="540" w:type="dxa"/>
          </w:tcPr>
          <w:p w:rsidR="000727A1" w:rsidRPr="00927428" w:rsidRDefault="000727A1" w:rsidP="0061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927428" w:rsidRDefault="000727A1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r w:rsidR="006B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927428" w:rsidTr="00161326">
        <w:tc>
          <w:tcPr>
            <w:tcW w:w="540" w:type="dxa"/>
          </w:tcPr>
          <w:p w:rsidR="000727A1" w:rsidRPr="00927428" w:rsidRDefault="000727A1" w:rsidP="0061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0B008C" w:rsidRDefault="000727A1" w:rsidP="000B008C">
            <w:pPr>
              <w:pStyle w:val="afe"/>
              <w:spacing w:before="0" w:beforeAutospacing="0" w:after="0" w:afterAutospacing="0"/>
            </w:pPr>
            <w:r w:rsidRPr="000B008C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727A1" w:rsidRDefault="000727A1" w:rsidP="000814AC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927428">
              <w:rPr>
                <w:color w:val="000000" w:themeColor="text1"/>
              </w:rPr>
              <w:t>П</w:t>
            </w:r>
            <w:r w:rsidR="004D6091">
              <w:rPr>
                <w:color w:val="000000" w:themeColor="text1"/>
              </w:rPr>
              <w:t xml:space="preserve">ри предоставлении субсидий </w:t>
            </w:r>
            <w:r w:rsidR="000814AC">
              <w:rPr>
                <w:color w:val="000000" w:themeColor="text1"/>
              </w:rPr>
              <w:t>участникам отбора</w:t>
            </w:r>
            <w:r w:rsidR="004D6091">
              <w:rPr>
                <w:color w:val="000000" w:themeColor="text1"/>
              </w:rPr>
              <w:t>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>роводится</w:t>
            </w:r>
            <w:r w:rsidR="000814AC">
              <w:rPr>
                <w:color w:val="000000" w:themeColor="text1"/>
              </w:rPr>
              <w:t xml:space="preserve"> </w:t>
            </w:r>
            <w:r w:rsidRPr="00927428">
              <w:rPr>
                <w:color w:val="000000" w:themeColor="text1"/>
              </w:rPr>
              <w:t>Минсельхозпродом РХ один раз в год</w:t>
            </w:r>
            <w:r w:rsidR="000814AC">
              <w:rPr>
                <w:color w:val="000000" w:themeColor="text1"/>
              </w:rPr>
              <w:t>.</w:t>
            </w:r>
          </w:p>
          <w:p w:rsidR="000814AC" w:rsidRPr="00927428" w:rsidRDefault="000814AC" w:rsidP="000814AC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 не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 xml:space="preserve">роводится Минсельхозпродом РХ </w:t>
            </w:r>
            <w:r>
              <w:rPr>
                <w:color w:val="000000" w:themeColor="text1"/>
              </w:rPr>
              <w:t>ежеквартально.</w:t>
            </w:r>
          </w:p>
        </w:tc>
      </w:tr>
      <w:tr w:rsidR="000727A1" w:rsidRPr="00927428" w:rsidTr="00161326">
        <w:tc>
          <w:tcPr>
            <w:tcW w:w="540" w:type="dxa"/>
          </w:tcPr>
          <w:p w:rsidR="000727A1" w:rsidRPr="00927428" w:rsidRDefault="000727A1" w:rsidP="0061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0B008C" w:rsidRDefault="00280377" w:rsidP="004D6091">
            <w:pPr>
              <w:pStyle w:val="afe"/>
              <w:spacing w:before="0" w:beforeAutospacing="0" w:after="0" w:afterAutospacing="0"/>
            </w:pPr>
            <w:r>
              <w:t>Дополнительные у</w:t>
            </w:r>
            <w:r w:rsidR="000727A1" w:rsidRPr="000B008C">
              <w:t>словия предоставления субсидии</w:t>
            </w:r>
          </w:p>
        </w:tc>
        <w:tc>
          <w:tcPr>
            <w:tcW w:w="5954" w:type="dxa"/>
          </w:tcPr>
          <w:p w:rsidR="00161326" w:rsidRPr="00161326" w:rsidRDefault="00161326" w:rsidP="00161326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не допускается прекращение деятельности получателя субсидии в течение не менее двух лет с момента приобретения племенного молодняка сельскохозяйственных животных;</w:t>
            </w:r>
          </w:p>
          <w:p w:rsidR="00161326" w:rsidRPr="00927428" w:rsidRDefault="00161326" w:rsidP="00161326">
            <w:pPr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не допускается отчуждение племенного молодняка сельскохозяйственных животных, на приобретение которого предоставлена субсидия, в течение не менее двух лет с момента его приобретения.</w:t>
            </w:r>
          </w:p>
        </w:tc>
      </w:tr>
    </w:tbl>
    <w:p w:rsidR="00DC7394" w:rsidRDefault="00DC7394" w:rsidP="00DC739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D0346" w:rsidRDefault="00DD1416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CD0346" w:rsidRDefault="00DD1416" w:rsidP="00CD03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>требованиям</w:t>
      </w:r>
      <w:r w:rsidR="00CD0346" w:rsidRPr="00CD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46" w:rsidRP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D1416" w:rsidRPr="00172BD4" w:rsidRDefault="00DD1416" w:rsidP="00DD1416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Рассмотрение заявок на предмет их соответствия установленным требованиям осуществляется специалистами Минсельхозпрод</w:t>
      </w:r>
      <w:r w:rsidR="00C321A7">
        <w:rPr>
          <w:sz w:val="26"/>
          <w:szCs w:val="26"/>
        </w:rPr>
        <w:t>а</w:t>
      </w:r>
      <w:r w:rsidRPr="00172BD4">
        <w:rPr>
          <w:sz w:val="26"/>
          <w:szCs w:val="26"/>
        </w:rPr>
        <w:t xml:space="preserve"> РХ в соответствии с предоставленными полномочиями. </w:t>
      </w:r>
    </w:p>
    <w:p w:rsidR="00DD1416" w:rsidRPr="00172BD4" w:rsidRDefault="00DD1416" w:rsidP="00DD141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DD1416" w:rsidRPr="00172BD4" w:rsidRDefault="003B6E3E" w:rsidP="00DD1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sz w:val="26"/>
          <w:szCs w:val="26"/>
        </w:rPr>
        <w:t>.2. С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="00DD1416" w:rsidRPr="00172BD4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DD1416" w:rsidRPr="00172BD4" w:rsidRDefault="003B6E3E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>.3. Рассмотрение заявок предусматривает:</w:t>
      </w:r>
    </w:p>
    <w:p w:rsidR="00DD1416" w:rsidRPr="00172BD4" w:rsidRDefault="00DD1416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3AA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 xml:space="preserve"> и (или) 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заявк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5AFE" w:rsidRDefault="00DD1416" w:rsidP="00AB5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5AFE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AB5AFE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3B6E3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D0346" w:rsidRPr="00AB5AFE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132B9F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6E3E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C321A7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1416" w:rsidRPr="00AB5AFE" w:rsidRDefault="003B6E3E" w:rsidP="00AB5A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 xml:space="preserve">.4. Проверка </w:t>
      </w:r>
      <w:r w:rsidR="00AB5AFE" w:rsidRPr="00AB5AFE">
        <w:rPr>
          <w:rFonts w:ascii="Times New Roman" w:hAnsi="Times New Roman" w:cs="Times New Roman"/>
          <w:sz w:val="26"/>
          <w:szCs w:val="26"/>
        </w:rPr>
        <w:t xml:space="preserve">на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.2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, ос</w:t>
      </w:r>
      <w:r w:rsidR="00F34398" w:rsidRPr="00AB5AFE">
        <w:rPr>
          <w:rFonts w:ascii="Times New Roman" w:hAnsi="Times New Roman" w:cs="Times New Roman"/>
          <w:color w:val="000000"/>
          <w:sz w:val="26"/>
          <w:szCs w:val="26"/>
        </w:rPr>
        <w:t>уществляется в следующем порядке:</w:t>
      </w:r>
    </w:p>
    <w:p w:rsidR="00D653C7" w:rsidRPr="00172BD4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653C7" w:rsidRPr="00AB5AFE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="00F34398" w:rsidRPr="00AB5AFE">
        <w:rPr>
          <w:rFonts w:ascii="Times New Roman" w:hAnsi="Times New Roman" w:cs="Times New Roman"/>
          <w:sz w:val="26"/>
          <w:szCs w:val="26"/>
        </w:rPr>
        <w:t>строкой 1 таблицы пункта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3B6E3E">
        <w:rPr>
          <w:rFonts w:ascii="Times New Roman" w:hAnsi="Times New Roman" w:cs="Times New Roman"/>
          <w:sz w:val="26"/>
          <w:szCs w:val="26"/>
        </w:rPr>
        <w:t>6</w:t>
      </w:r>
      <w:r w:rsidR="00F34398">
        <w:rPr>
          <w:rFonts w:ascii="Times New Roman" w:hAnsi="Times New Roman" w:cs="Times New Roman"/>
          <w:sz w:val="26"/>
          <w:szCs w:val="26"/>
        </w:rPr>
        <w:t>.</w:t>
      </w:r>
      <w:r w:rsidR="00614479">
        <w:rPr>
          <w:rFonts w:ascii="Times New Roman" w:hAnsi="Times New Roman" w:cs="Times New Roman"/>
          <w:sz w:val="26"/>
          <w:szCs w:val="26"/>
        </w:rPr>
        <w:t>2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3B6E3E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F34398">
        <w:rPr>
          <w:rFonts w:ascii="Times New Roman" w:hAnsi="Times New Roman" w:cs="Times New Roman"/>
          <w:sz w:val="26"/>
          <w:szCs w:val="26"/>
        </w:rPr>
        <w:t>настоящего Решения</w:t>
      </w:r>
      <w:r w:rsidR="003B6E3E">
        <w:rPr>
          <w:rFonts w:ascii="Times New Roman" w:hAnsi="Times New Roman" w:cs="Times New Roman"/>
          <w:sz w:val="26"/>
          <w:szCs w:val="26"/>
        </w:rPr>
        <w:t>,</w:t>
      </w:r>
      <w:r w:rsidR="00F34398">
        <w:rPr>
          <w:rFonts w:ascii="Times New Roman" w:hAnsi="Times New Roman" w:cs="Times New Roman"/>
          <w:sz w:val="26"/>
          <w:szCs w:val="26"/>
        </w:rPr>
        <w:t xml:space="preserve"> – по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данным государственных информационных</w:t>
      </w:r>
      <w:r w:rsidR="00D653C7" w:rsidRPr="00172BD4">
        <w:rPr>
          <w:rFonts w:ascii="Times New Roman" w:hAnsi="Times New Roman" w:cs="Times New Roman"/>
          <w:sz w:val="26"/>
          <w:szCs w:val="26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D653C7" w:rsidRPr="00BE01F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53C7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D653C7">
        <w:rPr>
          <w:color w:val="000000"/>
          <w:sz w:val="26"/>
          <w:szCs w:val="26"/>
        </w:rPr>
        <w:t>учредителях юридического</w:t>
      </w:r>
      <w:r w:rsidRPr="00172BD4">
        <w:rPr>
          <w:color w:val="000000"/>
          <w:sz w:val="26"/>
          <w:szCs w:val="26"/>
        </w:rPr>
        <w:t xml:space="preserve"> </w:t>
      </w:r>
      <w:r w:rsidRPr="00BE01F4">
        <w:rPr>
          <w:color w:val="000000"/>
          <w:sz w:val="26"/>
          <w:szCs w:val="26"/>
        </w:rPr>
        <w:t xml:space="preserve">лица, внесенным в Единый государственный реестр юридических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E01F4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2" w:history="1">
        <w:r w:rsidRPr="00BE01F4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«б» </w:t>
        </w:r>
      </w:hyperlink>
      <w:hyperlink r:id="rId13" w:history="1"/>
      <w:r w:rsidRPr="00BE01F4">
        <w:rPr>
          <w:color w:val="000000"/>
          <w:sz w:val="26"/>
          <w:szCs w:val="26"/>
        </w:rPr>
        <w:t xml:space="preserve">пункта </w:t>
      </w:r>
      <w:r w:rsidRPr="00BE01F4">
        <w:rPr>
          <w:sz w:val="26"/>
          <w:szCs w:val="26"/>
        </w:rPr>
        <w:t>18 Правил предоставления субсидии</w:t>
      </w:r>
      <w:r w:rsidRPr="00BE01F4">
        <w:rPr>
          <w:color w:val="000000"/>
          <w:sz w:val="26"/>
          <w:szCs w:val="26"/>
        </w:rPr>
        <w:t>, – по сведениям, содержащимся в Перечне</w:t>
      </w:r>
      <w:r w:rsidRPr="00EC386E">
        <w:rPr>
          <w:color w:val="000000"/>
          <w:sz w:val="26"/>
          <w:szCs w:val="26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3B6E3E" w:rsidRPr="00172BD4" w:rsidRDefault="003B6E3E" w:rsidP="003B6E3E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>
        <w:rPr>
          <w:sz w:val="26"/>
          <w:szCs w:val="26"/>
        </w:rPr>
        <w:t>ому</w:t>
      </w:r>
      <w:r w:rsidRPr="00F34398">
        <w:rPr>
          <w:sz w:val="26"/>
          <w:szCs w:val="26"/>
        </w:rPr>
        <w:t xml:space="preserve"> </w:t>
      </w:r>
      <w:hyperlink r:id="rId14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>ом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«в»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5" w:history="1"/>
      <w:r w:rsidRPr="00F34398">
        <w:rPr>
          <w:color w:val="000000"/>
          <w:sz w:val="26"/>
          <w:szCs w:val="26"/>
        </w:rPr>
        <w:t xml:space="preserve">пункта </w:t>
      </w:r>
      <w:r w:rsidRPr="00F3439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по данным, находящимся в распоряжении Минсельхозпрода РХ</w:t>
      </w:r>
      <w:r>
        <w:rPr>
          <w:sz w:val="26"/>
          <w:szCs w:val="26"/>
        </w:rPr>
        <w:t>;</w:t>
      </w:r>
      <w:r w:rsidRPr="00EC386E">
        <w:rPr>
          <w:sz w:val="26"/>
          <w:szCs w:val="26"/>
        </w:rPr>
        <w:t xml:space="preserve"> </w:t>
      </w:r>
    </w:p>
    <w:p w:rsidR="00D653C7" w:rsidRPr="00C321A7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 xml:space="preserve">на соответствие требованию, </w:t>
      </w:r>
      <w:r w:rsidRPr="00F34398">
        <w:rPr>
          <w:color w:val="000000"/>
          <w:sz w:val="26"/>
          <w:szCs w:val="26"/>
        </w:rPr>
        <w:t xml:space="preserve">предусмотренному </w:t>
      </w:r>
      <w:hyperlink r:id="rId16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«г» </w:t>
        </w:r>
      </w:hyperlink>
      <w:hyperlink r:id="rId17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</w:t>
      </w:r>
      <w:r w:rsidRPr="00EC386E">
        <w:rPr>
          <w:sz w:val="26"/>
          <w:szCs w:val="26"/>
        </w:rPr>
        <w:t xml:space="preserve">по сведениям, содержащимся в Едином реестре иностранных </w:t>
      </w:r>
      <w:r w:rsidRPr="00C321A7">
        <w:rPr>
          <w:sz w:val="26"/>
          <w:szCs w:val="26"/>
        </w:rPr>
        <w:t xml:space="preserve">агентов, размещенном на официальном сайте Министерства юстиции Российской Федерации; </w:t>
      </w:r>
    </w:p>
    <w:p w:rsidR="00D653C7" w:rsidRPr="00F3439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39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8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«д» </w:t>
        </w:r>
      </w:hyperlink>
      <w:hyperlink r:id="rId19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C321A7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r w:rsidRPr="00F34398">
        <w:rPr>
          <w:color w:val="000000"/>
          <w:sz w:val="26"/>
          <w:szCs w:val="26"/>
        </w:rPr>
        <w:t xml:space="preserve">официальном сайте Федеральной службы по финансовому мониторингу; </w:t>
      </w:r>
    </w:p>
    <w:p w:rsidR="0080020A" w:rsidRPr="00172BD4" w:rsidRDefault="0080020A" w:rsidP="0080020A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>
        <w:rPr>
          <w:sz w:val="26"/>
          <w:szCs w:val="26"/>
        </w:rPr>
        <w:t>ому</w:t>
      </w:r>
      <w:r w:rsidRPr="00F34398">
        <w:rPr>
          <w:sz w:val="26"/>
          <w:szCs w:val="26"/>
        </w:rPr>
        <w:t xml:space="preserve"> </w:t>
      </w:r>
      <w:hyperlink r:id="rId20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>ом «е»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21" w:history="1"/>
      <w:r w:rsidRPr="00F34398">
        <w:rPr>
          <w:color w:val="000000"/>
          <w:sz w:val="26"/>
          <w:szCs w:val="26"/>
        </w:rPr>
        <w:t xml:space="preserve"> пункта </w:t>
      </w:r>
      <w:r w:rsidRPr="00F3439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</w:t>
      </w:r>
      <w:r w:rsidRPr="003B6E3E">
        <w:rPr>
          <w:sz w:val="26"/>
          <w:szCs w:val="26"/>
        </w:rPr>
        <w:t>Правил предоставления субсидии</w:t>
      </w:r>
      <w:r w:rsidRPr="003B6E3E">
        <w:rPr>
          <w:color w:val="000000"/>
          <w:sz w:val="26"/>
          <w:szCs w:val="26"/>
        </w:rPr>
        <w:t>,</w:t>
      </w:r>
      <w:r w:rsidRPr="003B6E3E">
        <w:rPr>
          <w:sz w:val="26"/>
          <w:szCs w:val="26"/>
        </w:rPr>
        <w:t xml:space="preserve"> – по данным, находящимся в распоряжении Минсельхозпрода РХ и Министерства экономического развития Республики Хакасия;</w:t>
      </w:r>
      <w:r w:rsidRPr="00EC386E">
        <w:rPr>
          <w:sz w:val="26"/>
          <w:szCs w:val="26"/>
        </w:rPr>
        <w:t xml:space="preserve"> </w:t>
      </w:r>
    </w:p>
    <w:p w:rsidR="004E5A6E" w:rsidRPr="00B43EAD" w:rsidRDefault="00F34398" w:rsidP="004E5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A6E">
        <w:rPr>
          <w:rFonts w:ascii="Times New Roman" w:hAnsi="Times New Roman" w:cs="Times New Roman"/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22" w:history="1">
        <w:r w:rsidRPr="004E5A6E">
          <w:rPr>
            <w:rStyle w:val="af1"/>
            <w:rFonts w:ascii="Times New Roman" w:eastAsia="Arial" w:hAnsi="Times New Roman" w:cs="Times New Roman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23" w:history="1"/>
      <w:r w:rsidRPr="004E5A6E">
        <w:rPr>
          <w:rFonts w:ascii="Times New Roman" w:hAnsi="Times New Roman" w:cs="Times New Roman"/>
          <w:color w:val="000000"/>
          <w:sz w:val="26"/>
          <w:szCs w:val="26"/>
        </w:rPr>
        <w:t xml:space="preserve"> пункта </w:t>
      </w:r>
      <w:r w:rsidRPr="004E5A6E">
        <w:rPr>
          <w:rFonts w:ascii="Times New Roman" w:hAnsi="Times New Roman" w:cs="Times New Roman"/>
          <w:sz w:val="26"/>
          <w:szCs w:val="26"/>
        </w:rPr>
        <w:t xml:space="preserve">18 Правил предоставления субсидии – </w:t>
      </w:r>
      <w:r w:rsidR="004E5A6E" w:rsidRPr="004E5A6E">
        <w:rPr>
          <w:rFonts w:ascii="Times New Roman" w:hAnsi="Times New Roman" w:cs="Times New Roman"/>
          <w:sz w:val="26"/>
          <w:szCs w:val="26"/>
        </w:rPr>
        <w:t>в соглашения о предоставлении субсидий, перечень которых определен Правительством</w:t>
      </w:r>
      <w:r w:rsidR="004E5A6E" w:rsidRPr="00B43EAD">
        <w:rPr>
          <w:rFonts w:ascii="Times New Roman" w:hAnsi="Times New Roman" w:cs="Times New Roman"/>
          <w:sz w:val="26"/>
          <w:szCs w:val="26"/>
        </w:rPr>
        <w:t xml:space="preserve"> Российской Федерации, в дополнение к положениям, определенным в соответствии с настоящими Правилами, включаются условия:</w:t>
      </w:r>
    </w:p>
    <w:p w:rsidR="004E5A6E" w:rsidRPr="00B43EAD" w:rsidRDefault="004E5A6E" w:rsidP="004E5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32"/>
      <w:bookmarkEnd w:id="4"/>
      <w:r w:rsidRPr="00B43EAD">
        <w:rPr>
          <w:rFonts w:ascii="Times New Roman" w:hAnsi="Times New Roman" w:cs="Times New Roman"/>
          <w:sz w:val="26"/>
          <w:szCs w:val="26"/>
        </w:rPr>
        <w:t xml:space="preserve">а)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 условия, </w:t>
      </w:r>
      <w:r>
        <w:rPr>
          <w:rFonts w:ascii="Times New Roman" w:hAnsi="Times New Roman" w:cs="Times New Roman"/>
          <w:sz w:val="26"/>
          <w:szCs w:val="26"/>
        </w:rPr>
        <w:t>определенные порядком внедрени</w:t>
      </w:r>
      <w:r w:rsidRPr="00B43EAD">
        <w:rPr>
          <w:rFonts w:ascii="Times New Roman" w:hAnsi="Times New Roman" w:cs="Times New Roman"/>
          <w:sz w:val="26"/>
          <w:szCs w:val="26"/>
        </w:rPr>
        <w:t>я;</w:t>
      </w:r>
    </w:p>
    <w:p w:rsidR="00D653C7" w:rsidRPr="0013754D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653C7">
        <w:rPr>
          <w:rFonts w:ascii="Times New Roman" w:hAnsi="Times New Roman" w:cs="Times New Roman"/>
          <w:sz w:val="26"/>
          <w:szCs w:val="26"/>
        </w:rPr>
        <w:t xml:space="preserve">) </w:t>
      </w:r>
      <w:r w:rsidR="00D653C7" w:rsidRPr="00D653C7">
        <w:rPr>
          <w:rFonts w:ascii="Times New Roman" w:hAnsi="Times New Roman" w:cs="Times New Roman"/>
          <w:sz w:val="26"/>
          <w:szCs w:val="26"/>
        </w:rPr>
        <w:t>на соответствие требовани</w:t>
      </w:r>
      <w:r w:rsidR="00D653C7">
        <w:rPr>
          <w:rFonts w:ascii="Times New Roman" w:hAnsi="Times New Roman" w:cs="Times New Roman"/>
          <w:sz w:val="26"/>
          <w:szCs w:val="26"/>
        </w:rPr>
        <w:t>ям</w:t>
      </w:r>
      <w:r w:rsidR="00D653C7" w:rsidRPr="00D653C7">
        <w:rPr>
          <w:rFonts w:ascii="Times New Roman" w:hAnsi="Times New Roman" w:cs="Times New Roman"/>
          <w:sz w:val="26"/>
          <w:szCs w:val="26"/>
        </w:rPr>
        <w:t>, предусмотренн</w:t>
      </w:r>
      <w:r w:rsidR="00D653C7">
        <w:rPr>
          <w:rFonts w:ascii="Times New Roman" w:hAnsi="Times New Roman" w:cs="Times New Roman"/>
          <w:sz w:val="26"/>
          <w:szCs w:val="26"/>
        </w:rPr>
        <w:t>ым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</w:t>
      </w:r>
      <w:r w:rsidR="00D653C7">
        <w:rPr>
          <w:rFonts w:ascii="Times New Roman" w:hAnsi="Times New Roman" w:cs="Times New Roman"/>
          <w:sz w:val="26"/>
          <w:szCs w:val="26"/>
        </w:rPr>
        <w:t>строками 2–1</w:t>
      </w:r>
      <w:r w:rsidR="00161326">
        <w:rPr>
          <w:rFonts w:ascii="Times New Roman" w:hAnsi="Times New Roman" w:cs="Times New Roman"/>
          <w:sz w:val="26"/>
          <w:szCs w:val="26"/>
        </w:rPr>
        <w:t>9</w:t>
      </w:r>
      <w:r w:rsidR="00D653C7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D653C7" w:rsidRPr="0013754D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3B6E3E">
        <w:rPr>
          <w:rFonts w:ascii="Times New Roman" w:hAnsi="Times New Roman" w:cs="Times New Roman"/>
          <w:sz w:val="26"/>
          <w:szCs w:val="26"/>
        </w:rPr>
        <w:t>6</w:t>
      </w:r>
      <w:r w:rsidR="00D653C7" w:rsidRPr="0013754D">
        <w:rPr>
          <w:rFonts w:ascii="Times New Roman" w:hAnsi="Times New Roman" w:cs="Times New Roman"/>
          <w:sz w:val="26"/>
          <w:szCs w:val="26"/>
        </w:rPr>
        <w:t xml:space="preserve">.2 </w:t>
      </w:r>
      <w:r w:rsidR="003B6E3E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D653C7" w:rsidRPr="0013754D">
        <w:rPr>
          <w:rFonts w:ascii="Times New Roman" w:hAnsi="Times New Roman" w:cs="Times New Roman"/>
          <w:sz w:val="26"/>
          <w:szCs w:val="26"/>
        </w:rPr>
        <w:t>настоящего Решения:</w:t>
      </w:r>
    </w:p>
    <w:p w:rsidR="00D653C7" w:rsidRPr="00172BD4" w:rsidRDefault="00D653C7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54D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строкой 2 таблицы пункта </w:t>
      </w:r>
      <w:r w:rsidR="003B6E3E">
        <w:rPr>
          <w:rFonts w:ascii="Times New Roman" w:hAnsi="Times New Roman" w:cs="Times New Roman"/>
          <w:sz w:val="26"/>
          <w:szCs w:val="26"/>
        </w:rPr>
        <w:t>6</w:t>
      </w:r>
      <w:r w:rsidRPr="0013754D">
        <w:rPr>
          <w:rFonts w:ascii="Times New Roman" w:hAnsi="Times New Roman" w:cs="Times New Roman"/>
          <w:sz w:val="26"/>
          <w:szCs w:val="26"/>
        </w:rPr>
        <w:t xml:space="preserve">.2 </w:t>
      </w:r>
      <w:r w:rsidR="003B6E3E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Pr="0013754D">
        <w:rPr>
          <w:rFonts w:ascii="Times New Roman" w:hAnsi="Times New Roman" w:cs="Times New Roman"/>
          <w:sz w:val="26"/>
          <w:szCs w:val="26"/>
        </w:rPr>
        <w:t>настоящего Решения</w:t>
      </w:r>
      <w:r w:rsidRPr="0013754D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13754D">
        <w:rPr>
          <w:rFonts w:ascii="Times New Roman" w:hAnsi="Times New Roman" w:cs="Times New Roman"/>
          <w:sz w:val="26"/>
          <w:szCs w:val="26"/>
        </w:rPr>
        <w:t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</w:t>
      </w:r>
      <w:r w:rsidRPr="00172BD4">
        <w:rPr>
          <w:rFonts w:ascii="Times New Roman" w:hAnsi="Times New Roman" w:cs="Times New Roman"/>
          <w:sz w:val="26"/>
          <w:szCs w:val="26"/>
        </w:rPr>
        <w:t xml:space="preserve">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</w:p>
    <w:p w:rsidR="00D653C7" w:rsidRPr="003C6F0A" w:rsidRDefault="00D653C7" w:rsidP="003C6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BD4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Pr="0013754D">
        <w:rPr>
          <w:rFonts w:ascii="Times New Roman" w:hAnsi="Times New Roman" w:cs="Times New Roman"/>
          <w:sz w:val="26"/>
          <w:szCs w:val="26"/>
        </w:rPr>
        <w:t xml:space="preserve">строками </w:t>
      </w:r>
      <w:r w:rsidR="00614479">
        <w:rPr>
          <w:rFonts w:ascii="Times New Roman" w:hAnsi="Times New Roman" w:cs="Times New Roman"/>
          <w:sz w:val="26"/>
          <w:szCs w:val="26"/>
        </w:rPr>
        <w:t>3</w:t>
      </w:r>
      <w:r w:rsidRPr="0013754D">
        <w:rPr>
          <w:rFonts w:ascii="Times New Roman" w:hAnsi="Times New Roman" w:cs="Times New Roman"/>
          <w:sz w:val="26"/>
          <w:szCs w:val="26"/>
        </w:rPr>
        <w:t>–6</w:t>
      </w:r>
      <w:r w:rsidR="009043AA" w:rsidRPr="00607D27">
        <w:rPr>
          <w:rFonts w:ascii="Times New Roman" w:hAnsi="Times New Roman" w:cs="Times New Roman"/>
          <w:sz w:val="26"/>
          <w:szCs w:val="26"/>
        </w:rPr>
        <w:t>, 11, 12</w:t>
      </w:r>
      <w:r w:rsidRPr="0013754D">
        <w:rPr>
          <w:rFonts w:ascii="Times New Roman" w:hAnsi="Times New Roman" w:cs="Times New Roman"/>
          <w:sz w:val="26"/>
          <w:szCs w:val="26"/>
        </w:rPr>
        <w:t xml:space="preserve"> таблицы пункта </w:t>
      </w:r>
      <w:r w:rsidR="003B6E3E">
        <w:rPr>
          <w:rFonts w:ascii="Times New Roman" w:hAnsi="Times New Roman" w:cs="Times New Roman"/>
          <w:sz w:val="26"/>
          <w:szCs w:val="26"/>
        </w:rPr>
        <w:t>6</w:t>
      </w:r>
      <w:r w:rsidRPr="0013754D">
        <w:rPr>
          <w:rFonts w:ascii="Times New Roman" w:hAnsi="Times New Roman" w:cs="Times New Roman"/>
          <w:sz w:val="26"/>
          <w:szCs w:val="26"/>
        </w:rPr>
        <w:t xml:space="preserve">.2 </w:t>
      </w:r>
      <w:r w:rsidR="003B6E3E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Pr="0013754D">
        <w:rPr>
          <w:rFonts w:ascii="Times New Roman" w:hAnsi="Times New Roman" w:cs="Times New Roman"/>
          <w:sz w:val="26"/>
          <w:szCs w:val="26"/>
        </w:rPr>
        <w:t xml:space="preserve">настоящего Решения, – по данным, находящимся в распоряжении </w:t>
      </w:r>
      <w:r w:rsidRPr="003C6F0A">
        <w:rPr>
          <w:rFonts w:ascii="Times New Roman" w:hAnsi="Times New Roman" w:cs="Times New Roman"/>
          <w:sz w:val="26"/>
          <w:szCs w:val="26"/>
        </w:rPr>
        <w:t xml:space="preserve">Минсельхозпрода РХ; </w:t>
      </w:r>
    </w:p>
    <w:p w:rsidR="00F34398" w:rsidRPr="003C6F0A" w:rsidRDefault="00F34398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C6F0A">
        <w:rPr>
          <w:sz w:val="26"/>
          <w:szCs w:val="26"/>
        </w:rPr>
        <w:t xml:space="preserve">на соответствие требованию, предусмотренному строкой 7 таблицы пункта </w:t>
      </w:r>
      <w:r w:rsidR="003B6E3E">
        <w:rPr>
          <w:sz w:val="26"/>
          <w:szCs w:val="26"/>
        </w:rPr>
        <w:t>6</w:t>
      </w:r>
      <w:r w:rsidRPr="003C6F0A">
        <w:rPr>
          <w:sz w:val="26"/>
          <w:szCs w:val="26"/>
        </w:rPr>
        <w:t xml:space="preserve">.2 </w:t>
      </w:r>
      <w:r w:rsidR="003B6E3E">
        <w:rPr>
          <w:sz w:val="26"/>
          <w:szCs w:val="26"/>
        </w:rPr>
        <w:t xml:space="preserve">раздела 6 </w:t>
      </w:r>
      <w:r w:rsidRPr="003C6F0A">
        <w:rPr>
          <w:sz w:val="26"/>
          <w:szCs w:val="26"/>
        </w:rPr>
        <w:t xml:space="preserve">настоящего Решения, – по данным, находящимся </w:t>
      </w:r>
      <w:r w:rsidR="003C6F0A" w:rsidRPr="003C6F0A">
        <w:rPr>
          <w:sz w:val="26"/>
          <w:szCs w:val="26"/>
        </w:rPr>
        <w:t>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</w:t>
      </w:r>
      <w:r w:rsidR="003C6F0A">
        <w:rPr>
          <w:sz w:val="26"/>
          <w:szCs w:val="26"/>
        </w:rPr>
        <w:t>;</w:t>
      </w:r>
    </w:p>
    <w:p w:rsidR="003B6E3E" w:rsidRPr="00832FD2" w:rsidRDefault="00B50E14" w:rsidP="003B6E3E">
      <w:pPr>
        <w:pStyle w:val="afe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32FD2">
        <w:rPr>
          <w:sz w:val="26"/>
          <w:szCs w:val="26"/>
        </w:rPr>
        <w:t xml:space="preserve">на соответствие требованию, предусмотренному строкой 9 таблицы пункта 6.2 </w:t>
      </w:r>
      <w:r w:rsidRPr="00832FD2">
        <w:rPr>
          <w:color w:val="000000"/>
          <w:sz w:val="26"/>
          <w:szCs w:val="26"/>
        </w:rPr>
        <w:t xml:space="preserve">раздела 6 </w:t>
      </w:r>
      <w:r w:rsidRPr="00832FD2">
        <w:rPr>
          <w:sz w:val="26"/>
          <w:szCs w:val="26"/>
        </w:rPr>
        <w:t>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</w:t>
      </w:r>
      <w:r w:rsidR="003B6E3E" w:rsidRPr="00832FD2">
        <w:rPr>
          <w:sz w:val="26"/>
          <w:szCs w:val="26"/>
        </w:rPr>
        <w:t>;</w:t>
      </w:r>
    </w:p>
    <w:p w:rsidR="00D653C7" w:rsidRPr="00832FD2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2FD2">
        <w:rPr>
          <w:sz w:val="26"/>
          <w:szCs w:val="26"/>
        </w:rPr>
        <w:t xml:space="preserve">на соответствие требованию, предусмотренному строкой </w:t>
      </w:r>
      <w:r w:rsidR="00D11FB8" w:rsidRPr="00832FD2">
        <w:rPr>
          <w:sz w:val="26"/>
          <w:szCs w:val="26"/>
        </w:rPr>
        <w:t>1</w:t>
      </w:r>
      <w:r w:rsidR="00607D27" w:rsidRPr="00832FD2">
        <w:rPr>
          <w:sz w:val="26"/>
          <w:szCs w:val="26"/>
        </w:rPr>
        <w:t>2</w:t>
      </w:r>
      <w:r w:rsidRPr="00832FD2">
        <w:rPr>
          <w:sz w:val="26"/>
          <w:szCs w:val="26"/>
        </w:rPr>
        <w:t xml:space="preserve"> таблицы пункта </w:t>
      </w:r>
      <w:r w:rsidR="003B6E3E" w:rsidRPr="00832FD2">
        <w:rPr>
          <w:sz w:val="26"/>
          <w:szCs w:val="26"/>
        </w:rPr>
        <w:t>6</w:t>
      </w:r>
      <w:r w:rsidRPr="00832FD2">
        <w:rPr>
          <w:sz w:val="26"/>
          <w:szCs w:val="26"/>
        </w:rPr>
        <w:t xml:space="preserve">.2 </w:t>
      </w:r>
      <w:r w:rsidR="003B6E3E" w:rsidRPr="00832FD2">
        <w:rPr>
          <w:sz w:val="26"/>
          <w:szCs w:val="26"/>
        </w:rPr>
        <w:t xml:space="preserve">раздела 6 </w:t>
      </w:r>
      <w:r w:rsidRPr="00832FD2">
        <w:rPr>
          <w:sz w:val="26"/>
          <w:szCs w:val="26"/>
        </w:rPr>
        <w:t xml:space="preserve">настоящего Решения,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D653C7" w:rsidRPr="00832FD2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2FD2">
        <w:rPr>
          <w:sz w:val="26"/>
          <w:szCs w:val="26"/>
        </w:rPr>
        <w:t xml:space="preserve">на соответствие </w:t>
      </w:r>
      <w:r w:rsidR="0013754D" w:rsidRPr="00832FD2">
        <w:rPr>
          <w:sz w:val="26"/>
          <w:szCs w:val="26"/>
        </w:rPr>
        <w:t>т</w:t>
      </w:r>
      <w:r w:rsidRPr="00832FD2">
        <w:rPr>
          <w:sz w:val="26"/>
          <w:szCs w:val="26"/>
        </w:rPr>
        <w:t xml:space="preserve">ребованиям, </w:t>
      </w:r>
      <w:r w:rsidR="0013754D" w:rsidRPr="00832FD2">
        <w:rPr>
          <w:sz w:val="26"/>
          <w:szCs w:val="26"/>
        </w:rPr>
        <w:t xml:space="preserve">предусмотренным строками </w:t>
      </w:r>
      <w:r w:rsidR="00614479" w:rsidRPr="00832FD2">
        <w:rPr>
          <w:sz w:val="26"/>
          <w:szCs w:val="26"/>
        </w:rPr>
        <w:t xml:space="preserve">8, </w:t>
      </w:r>
      <w:r w:rsidR="00B50E14" w:rsidRPr="00832FD2">
        <w:rPr>
          <w:sz w:val="26"/>
          <w:szCs w:val="26"/>
        </w:rPr>
        <w:t>1</w:t>
      </w:r>
      <w:r w:rsidR="006F3D0F" w:rsidRPr="00832FD2">
        <w:rPr>
          <w:sz w:val="26"/>
          <w:szCs w:val="26"/>
        </w:rPr>
        <w:t>3</w:t>
      </w:r>
      <w:r w:rsidR="0013754D" w:rsidRPr="00832FD2">
        <w:rPr>
          <w:sz w:val="26"/>
          <w:szCs w:val="26"/>
        </w:rPr>
        <w:t>–1</w:t>
      </w:r>
      <w:r w:rsidR="00B50E14" w:rsidRPr="00832FD2">
        <w:rPr>
          <w:sz w:val="26"/>
          <w:szCs w:val="26"/>
        </w:rPr>
        <w:t>8</w:t>
      </w:r>
      <w:r w:rsidR="0013754D" w:rsidRPr="00832FD2">
        <w:rPr>
          <w:sz w:val="26"/>
          <w:szCs w:val="26"/>
        </w:rPr>
        <w:t xml:space="preserve"> таблицы пункта </w:t>
      </w:r>
      <w:r w:rsidR="003B6E3E" w:rsidRPr="00832FD2">
        <w:rPr>
          <w:sz w:val="26"/>
          <w:szCs w:val="26"/>
        </w:rPr>
        <w:t>6</w:t>
      </w:r>
      <w:r w:rsidR="0013754D" w:rsidRPr="00832FD2">
        <w:rPr>
          <w:sz w:val="26"/>
          <w:szCs w:val="26"/>
        </w:rPr>
        <w:t xml:space="preserve">.2 </w:t>
      </w:r>
      <w:r w:rsidR="003B6E3E" w:rsidRPr="00832FD2">
        <w:rPr>
          <w:sz w:val="26"/>
          <w:szCs w:val="26"/>
        </w:rPr>
        <w:t xml:space="preserve">раздела 6 </w:t>
      </w:r>
      <w:r w:rsidR="0013754D" w:rsidRPr="00832FD2">
        <w:rPr>
          <w:sz w:val="26"/>
          <w:szCs w:val="26"/>
        </w:rPr>
        <w:t xml:space="preserve">настоящего Решения, </w:t>
      </w:r>
      <w:r w:rsidRPr="00832FD2">
        <w:rPr>
          <w:sz w:val="26"/>
          <w:szCs w:val="26"/>
        </w:rPr>
        <w:t xml:space="preserve">– по представленным в </w:t>
      </w:r>
      <w:r w:rsidRPr="00832FD2">
        <w:rPr>
          <w:sz w:val="26"/>
          <w:szCs w:val="26"/>
        </w:rPr>
        <w:br/>
        <w:t>Минсельхозпрод РХ в составе заявки документам</w:t>
      </w:r>
      <w:r w:rsidR="0013754D" w:rsidRPr="00832FD2">
        <w:rPr>
          <w:sz w:val="26"/>
          <w:szCs w:val="26"/>
        </w:rPr>
        <w:t>.</w:t>
      </w:r>
    </w:p>
    <w:p w:rsidR="00C321A7" w:rsidRPr="00832FD2" w:rsidRDefault="00C321A7" w:rsidP="00C321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EEA" w:rsidRPr="00832FD2" w:rsidRDefault="00554EEA" w:rsidP="00554E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2FD2">
        <w:rPr>
          <w:rFonts w:ascii="Times New Roman" w:hAnsi="Times New Roman" w:cs="Times New Roman"/>
          <w:sz w:val="26"/>
          <w:szCs w:val="26"/>
        </w:rPr>
        <w:t>Отчетность, подлежащая представлению получателем субсидии</w:t>
      </w:r>
    </w:p>
    <w:p w:rsidR="003B6E3E" w:rsidRPr="00832FD2" w:rsidRDefault="003B6E3E" w:rsidP="003B6E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E3E" w:rsidRPr="00832FD2" w:rsidRDefault="003B6E3E" w:rsidP="003B6E3E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FD2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</w:t>
      </w:r>
      <w:r w:rsidR="00B50E14" w:rsidRPr="00832FD2">
        <w:rPr>
          <w:rFonts w:ascii="Times New Roman" w:hAnsi="Times New Roman" w:cs="Times New Roman"/>
          <w:sz w:val="26"/>
          <w:szCs w:val="26"/>
        </w:rPr>
        <w:t>29 Правил предоставления субсидии</w:t>
      </w:r>
      <w:r w:rsidRPr="00832FD2">
        <w:rPr>
          <w:rFonts w:ascii="Times New Roman" w:hAnsi="Times New Roman" w:cs="Times New Roman"/>
          <w:sz w:val="26"/>
          <w:szCs w:val="26"/>
        </w:rPr>
        <w:t>, получатель субсидии представляет следующую отчетность:</w:t>
      </w:r>
    </w:p>
    <w:p w:rsidR="003B6E3E" w:rsidRPr="00832FD2" w:rsidRDefault="003B6E3E" w:rsidP="003B6E3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FD2">
        <w:rPr>
          <w:rFonts w:ascii="Times New Roman" w:hAnsi="Times New Roman" w:cs="Times New Roman"/>
          <w:sz w:val="26"/>
          <w:szCs w:val="26"/>
        </w:rPr>
        <w:t xml:space="preserve">форму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Pr="00832FD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832FD2">
        <w:rPr>
          <w:rFonts w:ascii="Times New Roman" w:hAnsi="Times New Roman" w:cs="Times New Roman"/>
          <w:sz w:val="26"/>
          <w:szCs w:val="26"/>
        </w:rPr>
        <w:t xml:space="preserve"> год – на бумажном носителе не позднее 31 января </w:t>
      </w:r>
      <w:r w:rsidRPr="00832F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 w:rsidRPr="00832FD2">
        <w:rPr>
          <w:rFonts w:ascii="Times New Roman" w:hAnsi="Times New Roman" w:cs="Times New Roman"/>
          <w:sz w:val="26"/>
          <w:szCs w:val="26"/>
        </w:rPr>
        <w:t>года;</w:t>
      </w:r>
    </w:p>
    <w:p w:rsidR="003B6E3E" w:rsidRDefault="003B6E3E" w:rsidP="003B6E3E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6E3E" w:rsidRPr="00D14591" w:rsidRDefault="003B6E3E" w:rsidP="00D14591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B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130BFA">
        <w:rPr>
          <w:rFonts w:ascii="Times New Roman" w:hAnsi="Times New Roman" w:cs="Times New Roman"/>
          <w:sz w:val="26"/>
          <w:szCs w:val="26"/>
        </w:rPr>
        <w:t xml:space="preserve">отчет, </w:t>
      </w:r>
      <w:r w:rsidRPr="00D14591">
        <w:rPr>
          <w:rFonts w:ascii="Times New Roman" w:hAnsi="Times New Roman" w:cs="Times New Roman"/>
          <w:sz w:val="26"/>
          <w:szCs w:val="26"/>
        </w:rPr>
        <w:t xml:space="preserve">предусмотренный подпунктом «а» пункта 29 </w:t>
      </w:r>
      <w:r w:rsidR="00F24FB3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 w:rsidRPr="00D14591">
        <w:rPr>
          <w:rFonts w:ascii="Times New Roman" w:hAnsi="Times New Roman" w:cs="Times New Roman"/>
          <w:sz w:val="26"/>
          <w:szCs w:val="26"/>
        </w:rPr>
        <w:t xml:space="preserve">, представляется </w:t>
      </w:r>
      <w:r w:rsidRPr="00D145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один раз в год </w:t>
      </w:r>
      <w:r w:rsidRPr="00D14591">
        <w:rPr>
          <w:rFonts w:ascii="Times New Roman" w:hAnsi="Times New Roman" w:cs="Times New Roman"/>
          <w:sz w:val="26"/>
          <w:szCs w:val="26"/>
        </w:rPr>
        <w:t xml:space="preserve">не позднее 15 февраля </w:t>
      </w:r>
      <w:r w:rsidRPr="00D14591">
        <w:rPr>
          <w:rFonts w:ascii="Times New Roman" w:hAnsi="Times New Roman" w:cs="Times New Roman"/>
          <w:color w:val="000000" w:themeColor="text1"/>
          <w:sz w:val="26"/>
          <w:szCs w:val="26"/>
        </w:rPr>
        <w:t>2026 года.</w:t>
      </w:r>
    </w:p>
    <w:p w:rsidR="003B6E3E" w:rsidRDefault="003B6E3E" w:rsidP="003B6E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051A" w:rsidRDefault="0044051A" w:rsidP="0044051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 xml:space="preserve">ь за несоблюдение целей, условий и </w:t>
      </w:r>
    </w:p>
    <w:p w:rsidR="0044051A" w:rsidRDefault="0044051A" w:rsidP="004405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44051A" w:rsidRDefault="0044051A" w:rsidP="0044051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4051A" w:rsidRPr="00130BFA" w:rsidRDefault="0044051A" w:rsidP="008E427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B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несоблюдением получателем субсидии условий и порядка предоставления субсидий, в том числе в части достижения результатов предоставления субсидии, предусмотрена разделом </w:t>
      </w:r>
      <w:r w:rsidRPr="00130BFA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30BFA">
        <w:rPr>
          <w:rFonts w:ascii="Times New Roman" w:hAnsi="Times New Roman" w:cs="Times New Roman"/>
          <w:sz w:val="26"/>
          <w:szCs w:val="26"/>
        </w:rPr>
        <w:t xml:space="preserve"> </w:t>
      </w:r>
      <w:r w:rsidR="00130BFA" w:rsidRPr="00130BFA">
        <w:rPr>
          <w:rFonts w:ascii="Times New Roman" w:hAnsi="Times New Roman" w:cs="Times New Roman"/>
          <w:sz w:val="26"/>
          <w:szCs w:val="26"/>
        </w:rPr>
        <w:t>Правил предоставления субсидий.</w:t>
      </w:r>
    </w:p>
    <w:p w:rsidR="00130BFA" w:rsidRDefault="0044051A" w:rsidP="00130BFA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недостижения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r w:rsidRPr="00516B50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пунктами 37–39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130BFA">
        <w:rPr>
          <w:rFonts w:ascii="Times New Roman" w:hAnsi="Times New Roman" w:cs="Times New Roman"/>
          <w:sz w:val="26"/>
          <w:szCs w:val="26"/>
        </w:rPr>
        <w:t>Правил предоставления субсидий.</w:t>
      </w:r>
    </w:p>
    <w:p w:rsidR="0044051A" w:rsidRDefault="0044051A" w:rsidP="004405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44051A" w:rsidRPr="0029594C" w:rsidRDefault="0044051A" w:rsidP="004405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4051A" w:rsidRDefault="0044051A" w:rsidP="004405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недостижения значения результата предоставления субсидии; </w:t>
      </w:r>
    </w:p>
    <w:p w:rsidR="0044051A" w:rsidRDefault="0044051A" w:rsidP="004405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возврата указанной в требовании о возврате субсидии (части субсидии) суммы (части суммы) субсидии – не позднее 30-го дня со дня получения указанного требования.</w:t>
      </w:r>
    </w:p>
    <w:p w:rsidR="0044051A" w:rsidRPr="00B224CC" w:rsidRDefault="0044051A" w:rsidP="0044051A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 (условий)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(предусмотренных) строкой 17 таблицы раздела 7 настоящего Решения, </w:t>
      </w:r>
      <w:r w:rsidRPr="00B224CC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44051A" w:rsidRDefault="0044051A" w:rsidP="004405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 (условий)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предусмотренного (предусмотренных) строкой 17 таблицы раздела 7 настоящего Решения.</w:t>
      </w:r>
    </w:p>
    <w:p w:rsidR="0044051A" w:rsidRDefault="0044051A" w:rsidP="004405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sectPr w:rsidR="0044051A" w:rsidSect="00516C81">
      <w:headerReference w:type="default" r:id="rId24"/>
      <w:headerReference w:type="firs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CB" w:rsidRDefault="00DB3CCB">
      <w:pPr>
        <w:spacing w:after="0" w:line="240" w:lineRule="auto"/>
      </w:pPr>
      <w:r>
        <w:separator/>
      </w:r>
    </w:p>
  </w:endnote>
  <w:endnote w:type="continuationSeparator" w:id="0">
    <w:p w:rsidR="00DB3CCB" w:rsidRDefault="00DB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CB" w:rsidRDefault="00DB3CCB">
      <w:pPr>
        <w:spacing w:after="0" w:line="240" w:lineRule="auto"/>
      </w:pPr>
      <w:r>
        <w:separator/>
      </w:r>
    </w:p>
  </w:footnote>
  <w:footnote w:type="continuationSeparator" w:id="0">
    <w:p w:rsidR="00DB3CCB" w:rsidRDefault="00DB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05E2" w:rsidRPr="000063EC" w:rsidRDefault="004C05E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04D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05E2" w:rsidRDefault="004C05E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E2" w:rsidRPr="00A97BFD" w:rsidRDefault="004C05E2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4C05E2" w:rsidRDefault="004C05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F621DA"/>
    <w:multiLevelType w:val="hybridMultilevel"/>
    <w:tmpl w:val="D3363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233A0"/>
    <w:rsid w:val="00027722"/>
    <w:rsid w:val="00034F0D"/>
    <w:rsid w:val="00037C04"/>
    <w:rsid w:val="000418C0"/>
    <w:rsid w:val="00042D06"/>
    <w:rsid w:val="00042EF0"/>
    <w:rsid w:val="00044677"/>
    <w:rsid w:val="00044DF8"/>
    <w:rsid w:val="00045D9A"/>
    <w:rsid w:val="000460FA"/>
    <w:rsid w:val="000479B2"/>
    <w:rsid w:val="00050FBA"/>
    <w:rsid w:val="000528B7"/>
    <w:rsid w:val="0005611E"/>
    <w:rsid w:val="00061A92"/>
    <w:rsid w:val="00062817"/>
    <w:rsid w:val="00063B45"/>
    <w:rsid w:val="00064AF6"/>
    <w:rsid w:val="000651B3"/>
    <w:rsid w:val="00067A3E"/>
    <w:rsid w:val="000727A1"/>
    <w:rsid w:val="00073368"/>
    <w:rsid w:val="000740D7"/>
    <w:rsid w:val="00080AB4"/>
    <w:rsid w:val="000814AC"/>
    <w:rsid w:val="00081DCB"/>
    <w:rsid w:val="00081E05"/>
    <w:rsid w:val="00090B55"/>
    <w:rsid w:val="00093BB9"/>
    <w:rsid w:val="000A08C7"/>
    <w:rsid w:val="000A4EB6"/>
    <w:rsid w:val="000A6914"/>
    <w:rsid w:val="000A790C"/>
    <w:rsid w:val="000B008C"/>
    <w:rsid w:val="000B1429"/>
    <w:rsid w:val="000B1B54"/>
    <w:rsid w:val="000B5251"/>
    <w:rsid w:val="000B6A59"/>
    <w:rsid w:val="000C7317"/>
    <w:rsid w:val="000E4012"/>
    <w:rsid w:val="000E7B97"/>
    <w:rsid w:val="000F0D16"/>
    <w:rsid w:val="000F3B72"/>
    <w:rsid w:val="00102131"/>
    <w:rsid w:val="00111600"/>
    <w:rsid w:val="00114DD1"/>
    <w:rsid w:val="00116C2E"/>
    <w:rsid w:val="001211C2"/>
    <w:rsid w:val="00121FEC"/>
    <w:rsid w:val="00125149"/>
    <w:rsid w:val="00125F8A"/>
    <w:rsid w:val="00130BFA"/>
    <w:rsid w:val="00132B9F"/>
    <w:rsid w:val="00132F05"/>
    <w:rsid w:val="0013689D"/>
    <w:rsid w:val="0013754D"/>
    <w:rsid w:val="001406A9"/>
    <w:rsid w:val="00140C0A"/>
    <w:rsid w:val="0014568D"/>
    <w:rsid w:val="001551B6"/>
    <w:rsid w:val="00161326"/>
    <w:rsid w:val="00164484"/>
    <w:rsid w:val="0017057F"/>
    <w:rsid w:val="00172BD4"/>
    <w:rsid w:val="001774BD"/>
    <w:rsid w:val="00183CB7"/>
    <w:rsid w:val="0019126B"/>
    <w:rsid w:val="00193C60"/>
    <w:rsid w:val="001A0325"/>
    <w:rsid w:val="001A2664"/>
    <w:rsid w:val="001A7A3A"/>
    <w:rsid w:val="001B2DFE"/>
    <w:rsid w:val="001B7AA9"/>
    <w:rsid w:val="001C281B"/>
    <w:rsid w:val="001C2E0D"/>
    <w:rsid w:val="001C49BF"/>
    <w:rsid w:val="001C5CC7"/>
    <w:rsid w:val="001C5E8F"/>
    <w:rsid w:val="001C7964"/>
    <w:rsid w:val="001D217F"/>
    <w:rsid w:val="001D70EF"/>
    <w:rsid w:val="001E1BF9"/>
    <w:rsid w:val="001E5645"/>
    <w:rsid w:val="001F144D"/>
    <w:rsid w:val="001F18A3"/>
    <w:rsid w:val="001F1E34"/>
    <w:rsid w:val="001F2A95"/>
    <w:rsid w:val="001F5936"/>
    <w:rsid w:val="001F6020"/>
    <w:rsid w:val="00221427"/>
    <w:rsid w:val="00221F5A"/>
    <w:rsid w:val="0022487B"/>
    <w:rsid w:val="002342AA"/>
    <w:rsid w:val="00234E75"/>
    <w:rsid w:val="00235F2B"/>
    <w:rsid w:val="00237282"/>
    <w:rsid w:val="0024292E"/>
    <w:rsid w:val="00244E14"/>
    <w:rsid w:val="0024553C"/>
    <w:rsid w:val="002463DF"/>
    <w:rsid w:val="002506E0"/>
    <w:rsid w:val="00250878"/>
    <w:rsid w:val="00252B78"/>
    <w:rsid w:val="00253A39"/>
    <w:rsid w:val="00256D6B"/>
    <w:rsid w:val="002644C8"/>
    <w:rsid w:val="00264865"/>
    <w:rsid w:val="00271FF5"/>
    <w:rsid w:val="002726A7"/>
    <w:rsid w:val="00274513"/>
    <w:rsid w:val="002754B5"/>
    <w:rsid w:val="00277698"/>
    <w:rsid w:val="00280377"/>
    <w:rsid w:val="00286011"/>
    <w:rsid w:val="0029099D"/>
    <w:rsid w:val="002B1E21"/>
    <w:rsid w:val="002B53A8"/>
    <w:rsid w:val="002C1AC3"/>
    <w:rsid w:val="002D0640"/>
    <w:rsid w:val="002D3FAA"/>
    <w:rsid w:val="002D461A"/>
    <w:rsid w:val="002E298C"/>
    <w:rsid w:val="002E4E26"/>
    <w:rsid w:val="002E527F"/>
    <w:rsid w:val="002E5394"/>
    <w:rsid w:val="002F1C29"/>
    <w:rsid w:val="002F1F09"/>
    <w:rsid w:val="002F37BF"/>
    <w:rsid w:val="002F3F03"/>
    <w:rsid w:val="002F5F75"/>
    <w:rsid w:val="00303AFC"/>
    <w:rsid w:val="00305DAD"/>
    <w:rsid w:val="00306340"/>
    <w:rsid w:val="00313CEC"/>
    <w:rsid w:val="0031562D"/>
    <w:rsid w:val="00324611"/>
    <w:rsid w:val="00326F5B"/>
    <w:rsid w:val="00327E21"/>
    <w:rsid w:val="003313F5"/>
    <w:rsid w:val="00331932"/>
    <w:rsid w:val="00334103"/>
    <w:rsid w:val="00334164"/>
    <w:rsid w:val="00340409"/>
    <w:rsid w:val="0034232E"/>
    <w:rsid w:val="00342A4A"/>
    <w:rsid w:val="00343E7F"/>
    <w:rsid w:val="00346F81"/>
    <w:rsid w:val="0034753A"/>
    <w:rsid w:val="00351762"/>
    <w:rsid w:val="0035228A"/>
    <w:rsid w:val="00352F60"/>
    <w:rsid w:val="003537DC"/>
    <w:rsid w:val="003559B6"/>
    <w:rsid w:val="003573F6"/>
    <w:rsid w:val="003645D4"/>
    <w:rsid w:val="00366427"/>
    <w:rsid w:val="00367A76"/>
    <w:rsid w:val="003761AA"/>
    <w:rsid w:val="003767DA"/>
    <w:rsid w:val="00377B3F"/>
    <w:rsid w:val="0038137A"/>
    <w:rsid w:val="00382F59"/>
    <w:rsid w:val="00385455"/>
    <w:rsid w:val="003857F9"/>
    <w:rsid w:val="003936BE"/>
    <w:rsid w:val="0039391D"/>
    <w:rsid w:val="00394CF4"/>
    <w:rsid w:val="003A1C45"/>
    <w:rsid w:val="003A7BE2"/>
    <w:rsid w:val="003B0742"/>
    <w:rsid w:val="003B0BA4"/>
    <w:rsid w:val="003B6E3E"/>
    <w:rsid w:val="003C4533"/>
    <w:rsid w:val="003C648E"/>
    <w:rsid w:val="003C672B"/>
    <w:rsid w:val="003C6F0A"/>
    <w:rsid w:val="003D15E1"/>
    <w:rsid w:val="003D2032"/>
    <w:rsid w:val="003D27A8"/>
    <w:rsid w:val="003D2C7F"/>
    <w:rsid w:val="003D4D10"/>
    <w:rsid w:val="003E060C"/>
    <w:rsid w:val="003E0A73"/>
    <w:rsid w:val="003E2978"/>
    <w:rsid w:val="003E3687"/>
    <w:rsid w:val="003E5B91"/>
    <w:rsid w:val="003F18AC"/>
    <w:rsid w:val="003F3B86"/>
    <w:rsid w:val="003F61C8"/>
    <w:rsid w:val="004005E5"/>
    <w:rsid w:val="00400884"/>
    <w:rsid w:val="00400B31"/>
    <w:rsid w:val="004144E1"/>
    <w:rsid w:val="00415A16"/>
    <w:rsid w:val="00416304"/>
    <w:rsid w:val="004268F5"/>
    <w:rsid w:val="00426B41"/>
    <w:rsid w:val="00426DFA"/>
    <w:rsid w:val="00430496"/>
    <w:rsid w:val="0044051A"/>
    <w:rsid w:val="00441315"/>
    <w:rsid w:val="00442EFA"/>
    <w:rsid w:val="004467E6"/>
    <w:rsid w:val="00451847"/>
    <w:rsid w:val="00454526"/>
    <w:rsid w:val="00457C42"/>
    <w:rsid w:val="00460236"/>
    <w:rsid w:val="00461D4A"/>
    <w:rsid w:val="00463548"/>
    <w:rsid w:val="004639F0"/>
    <w:rsid w:val="0046503A"/>
    <w:rsid w:val="004723EA"/>
    <w:rsid w:val="00472FB4"/>
    <w:rsid w:val="004739AF"/>
    <w:rsid w:val="00475F41"/>
    <w:rsid w:val="004766CC"/>
    <w:rsid w:val="00480AED"/>
    <w:rsid w:val="00492A94"/>
    <w:rsid w:val="004A0A02"/>
    <w:rsid w:val="004A1B4E"/>
    <w:rsid w:val="004A491D"/>
    <w:rsid w:val="004B0019"/>
    <w:rsid w:val="004B296B"/>
    <w:rsid w:val="004B7197"/>
    <w:rsid w:val="004B71CF"/>
    <w:rsid w:val="004B7C98"/>
    <w:rsid w:val="004C05E2"/>
    <w:rsid w:val="004C1E8B"/>
    <w:rsid w:val="004D15F8"/>
    <w:rsid w:val="004D2B0F"/>
    <w:rsid w:val="004D6091"/>
    <w:rsid w:val="004D7F98"/>
    <w:rsid w:val="004E0F47"/>
    <w:rsid w:val="004E3681"/>
    <w:rsid w:val="004E4802"/>
    <w:rsid w:val="004E5A6E"/>
    <w:rsid w:val="004F3F1E"/>
    <w:rsid w:val="004F450B"/>
    <w:rsid w:val="00500733"/>
    <w:rsid w:val="005069F3"/>
    <w:rsid w:val="005070F0"/>
    <w:rsid w:val="005072CB"/>
    <w:rsid w:val="0050730D"/>
    <w:rsid w:val="005109B6"/>
    <w:rsid w:val="00513A73"/>
    <w:rsid w:val="00516C81"/>
    <w:rsid w:val="005179A5"/>
    <w:rsid w:val="00521CCC"/>
    <w:rsid w:val="005238C6"/>
    <w:rsid w:val="00524EF7"/>
    <w:rsid w:val="00532AA4"/>
    <w:rsid w:val="00533078"/>
    <w:rsid w:val="00536778"/>
    <w:rsid w:val="005411EE"/>
    <w:rsid w:val="005428BD"/>
    <w:rsid w:val="00543CA0"/>
    <w:rsid w:val="00544122"/>
    <w:rsid w:val="00545012"/>
    <w:rsid w:val="00545168"/>
    <w:rsid w:val="00551BAA"/>
    <w:rsid w:val="00554EEA"/>
    <w:rsid w:val="00556337"/>
    <w:rsid w:val="00562AF0"/>
    <w:rsid w:val="00566283"/>
    <w:rsid w:val="00572F5C"/>
    <w:rsid w:val="005740D4"/>
    <w:rsid w:val="00575CAC"/>
    <w:rsid w:val="00580101"/>
    <w:rsid w:val="00581A0B"/>
    <w:rsid w:val="005840DA"/>
    <w:rsid w:val="00587828"/>
    <w:rsid w:val="00592098"/>
    <w:rsid w:val="00594A9B"/>
    <w:rsid w:val="00596236"/>
    <w:rsid w:val="0059626D"/>
    <w:rsid w:val="005A016F"/>
    <w:rsid w:val="005A2C3B"/>
    <w:rsid w:val="005B2CFC"/>
    <w:rsid w:val="005B5469"/>
    <w:rsid w:val="005B5FE2"/>
    <w:rsid w:val="005C6F70"/>
    <w:rsid w:val="005D0373"/>
    <w:rsid w:val="005D04B0"/>
    <w:rsid w:val="005D08C9"/>
    <w:rsid w:val="005D7294"/>
    <w:rsid w:val="005D7620"/>
    <w:rsid w:val="005E1BF1"/>
    <w:rsid w:val="005E37B2"/>
    <w:rsid w:val="005E5EC3"/>
    <w:rsid w:val="005E7BA3"/>
    <w:rsid w:val="005F25EC"/>
    <w:rsid w:val="005F4428"/>
    <w:rsid w:val="005F5C5B"/>
    <w:rsid w:val="006013F0"/>
    <w:rsid w:val="00601AB3"/>
    <w:rsid w:val="00601DC9"/>
    <w:rsid w:val="00607D27"/>
    <w:rsid w:val="0061311F"/>
    <w:rsid w:val="00614479"/>
    <w:rsid w:val="00616C4B"/>
    <w:rsid w:val="00617986"/>
    <w:rsid w:val="00617A10"/>
    <w:rsid w:val="00617EED"/>
    <w:rsid w:val="00621B3D"/>
    <w:rsid w:val="00623576"/>
    <w:rsid w:val="006236BE"/>
    <w:rsid w:val="00624164"/>
    <w:rsid w:val="00626CDC"/>
    <w:rsid w:val="0063092B"/>
    <w:rsid w:val="00650758"/>
    <w:rsid w:val="00654A21"/>
    <w:rsid w:val="006557C3"/>
    <w:rsid w:val="00656ABC"/>
    <w:rsid w:val="00664E7D"/>
    <w:rsid w:val="0067017B"/>
    <w:rsid w:val="0067153B"/>
    <w:rsid w:val="00672233"/>
    <w:rsid w:val="00674F17"/>
    <w:rsid w:val="00684BA4"/>
    <w:rsid w:val="00685C29"/>
    <w:rsid w:val="00686EDD"/>
    <w:rsid w:val="0069377D"/>
    <w:rsid w:val="00694AF4"/>
    <w:rsid w:val="00696D12"/>
    <w:rsid w:val="006A12D2"/>
    <w:rsid w:val="006A3780"/>
    <w:rsid w:val="006A3C42"/>
    <w:rsid w:val="006B4482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1ECA"/>
    <w:rsid w:val="006E292F"/>
    <w:rsid w:val="006E38EF"/>
    <w:rsid w:val="006E3EED"/>
    <w:rsid w:val="006E4972"/>
    <w:rsid w:val="006E4F73"/>
    <w:rsid w:val="006E7412"/>
    <w:rsid w:val="006F1076"/>
    <w:rsid w:val="006F202C"/>
    <w:rsid w:val="006F33F5"/>
    <w:rsid w:val="006F3D0F"/>
    <w:rsid w:val="006F7017"/>
    <w:rsid w:val="006F765B"/>
    <w:rsid w:val="00703A25"/>
    <w:rsid w:val="00715C86"/>
    <w:rsid w:val="007162F0"/>
    <w:rsid w:val="00721987"/>
    <w:rsid w:val="00722EE6"/>
    <w:rsid w:val="00724EE5"/>
    <w:rsid w:val="0073108F"/>
    <w:rsid w:val="00735FC2"/>
    <w:rsid w:val="007376E4"/>
    <w:rsid w:val="00737728"/>
    <w:rsid w:val="00744FF4"/>
    <w:rsid w:val="00752F45"/>
    <w:rsid w:val="0075418D"/>
    <w:rsid w:val="00756BD2"/>
    <w:rsid w:val="00766AF8"/>
    <w:rsid w:val="00767421"/>
    <w:rsid w:val="00773390"/>
    <w:rsid w:val="00774B39"/>
    <w:rsid w:val="00775D13"/>
    <w:rsid w:val="00775EEC"/>
    <w:rsid w:val="00782685"/>
    <w:rsid w:val="0078374E"/>
    <w:rsid w:val="0079497D"/>
    <w:rsid w:val="00795D71"/>
    <w:rsid w:val="00796464"/>
    <w:rsid w:val="00796FFE"/>
    <w:rsid w:val="00797D31"/>
    <w:rsid w:val="007A4EF5"/>
    <w:rsid w:val="007A523D"/>
    <w:rsid w:val="007A70D2"/>
    <w:rsid w:val="007A7644"/>
    <w:rsid w:val="007B4588"/>
    <w:rsid w:val="007B6B57"/>
    <w:rsid w:val="007C721B"/>
    <w:rsid w:val="007D540D"/>
    <w:rsid w:val="007D7FB2"/>
    <w:rsid w:val="007E5BD0"/>
    <w:rsid w:val="007E60C0"/>
    <w:rsid w:val="007E6A98"/>
    <w:rsid w:val="007E6B2D"/>
    <w:rsid w:val="007E79DB"/>
    <w:rsid w:val="007F58CA"/>
    <w:rsid w:val="00800179"/>
    <w:rsid w:val="0080020A"/>
    <w:rsid w:val="00816BC8"/>
    <w:rsid w:val="0082627F"/>
    <w:rsid w:val="00827C33"/>
    <w:rsid w:val="0083027A"/>
    <w:rsid w:val="00831383"/>
    <w:rsid w:val="00832FD2"/>
    <w:rsid w:val="00845B0E"/>
    <w:rsid w:val="00847158"/>
    <w:rsid w:val="00847A4C"/>
    <w:rsid w:val="008529DB"/>
    <w:rsid w:val="00861C71"/>
    <w:rsid w:val="00861E90"/>
    <w:rsid w:val="008643BB"/>
    <w:rsid w:val="00864ED3"/>
    <w:rsid w:val="00867CC8"/>
    <w:rsid w:val="00876288"/>
    <w:rsid w:val="008770E9"/>
    <w:rsid w:val="008849B6"/>
    <w:rsid w:val="00884F4F"/>
    <w:rsid w:val="00887151"/>
    <w:rsid w:val="00887EE0"/>
    <w:rsid w:val="00890953"/>
    <w:rsid w:val="008919D2"/>
    <w:rsid w:val="00894EDF"/>
    <w:rsid w:val="00894F27"/>
    <w:rsid w:val="00895923"/>
    <w:rsid w:val="00896047"/>
    <w:rsid w:val="008A1CA7"/>
    <w:rsid w:val="008B4B10"/>
    <w:rsid w:val="008B52A2"/>
    <w:rsid w:val="008B52E1"/>
    <w:rsid w:val="008B7257"/>
    <w:rsid w:val="008B7261"/>
    <w:rsid w:val="008B79BD"/>
    <w:rsid w:val="008C1A61"/>
    <w:rsid w:val="008C1EE4"/>
    <w:rsid w:val="008C2B05"/>
    <w:rsid w:val="008C2FF0"/>
    <w:rsid w:val="008D0AFA"/>
    <w:rsid w:val="008D256C"/>
    <w:rsid w:val="008D73C7"/>
    <w:rsid w:val="008E070C"/>
    <w:rsid w:val="008E2C4B"/>
    <w:rsid w:val="008E2FFA"/>
    <w:rsid w:val="008E541E"/>
    <w:rsid w:val="008E598A"/>
    <w:rsid w:val="008F19C1"/>
    <w:rsid w:val="008F25E4"/>
    <w:rsid w:val="008F4854"/>
    <w:rsid w:val="008F61D0"/>
    <w:rsid w:val="009043AA"/>
    <w:rsid w:val="00906EFE"/>
    <w:rsid w:val="00914901"/>
    <w:rsid w:val="00916E85"/>
    <w:rsid w:val="009272B7"/>
    <w:rsid w:val="00927428"/>
    <w:rsid w:val="00937689"/>
    <w:rsid w:val="00937E0C"/>
    <w:rsid w:val="00940D27"/>
    <w:rsid w:val="00946480"/>
    <w:rsid w:val="009547A1"/>
    <w:rsid w:val="0095612B"/>
    <w:rsid w:val="009571C0"/>
    <w:rsid w:val="009604D0"/>
    <w:rsid w:val="00960A6B"/>
    <w:rsid w:val="00961022"/>
    <w:rsid w:val="00962AE8"/>
    <w:rsid w:val="00962D62"/>
    <w:rsid w:val="00966427"/>
    <w:rsid w:val="009707A2"/>
    <w:rsid w:val="0097588E"/>
    <w:rsid w:val="0098004D"/>
    <w:rsid w:val="009841DE"/>
    <w:rsid w:val="009852A0"/>
    <w:rsid w:val="009874DB"/>
    <w:rsid w:val="00990B06"/>
    <w:rsid w:val="00991215"/>
    <w:rsid w:val="009921E2"/>
    <w:rsid w:val="00992261"/>
    <w:rsid w:val="009925D6"/>
    <w:rsid w:val="00993962"/>
    <w:rsid w:val="009945EB"/>
    <w:rsid w:val="009A60B0"/>
    <w:rsid w:val="009A66C6"/>
    <w:rsid w:val="009B6E76"/>
    <w:rsid w:val="009B6F83"/>
    <w:rsid w:val="009C18EA"/>
    <w:rsid w:val="009C1D92"/>
    <w:rsid w:val="009C3D83"/>
    <w:rsid w:val="009D0943"/>
    <w:rsid w:val="009D1C7F"/>
    <w:rsid w:val="009D5AAF"/>
    <w:rsid w:val="009E67CA"/>
    <w:rsid w:val="00A03C5C"/>
    <w:rsid w:val="00A10B2B"/>
    <w:rsid w:val="00A11AF0"/>
    <w:rsid w:val="00A15B5D"/>
    <w:rsid w:val="00A3081C"/>
    <w:rsid w:val="00A3174B"/>
    <w:rsid w:val="00A368E8"/>
    <w:rsid w:val="00A370B2"/>
    <w:rsid w:val="00A37636"/>
    <w:rsid w:val="00A50245"/>
    <w:rsid w:val="00A508CD"/>
    <w:rsid w:val="00A52CDE"/>
    <w:rsid w:val="00A5512E"/>
    <w:rsid w:val="00A5781B"/>
    <w:rsid w:val="00A6180E"/>
    <w:rsid w:val="00A61F68"/>
    <w:rsid w:val="00A66545"/>
    <w:rsid w:val="00A71905"/>
    <w:rsid w:val="00A72175"/>
    <w:rsid w:val="00A739E0"/>
    <w:rsid w:val="00A74682"/>
    <w:rsid w:val="00A75134"/>
    <w:rsid w:val="00A77C41"/>
    <w:rsid w:val="00A87B84"/>
    <w:rsid w:val="00A906C4"/>
    <w:rsid w:val="00A9782B"/>
    <w:rsid w:val="00A97BFD"/>
    <w:rsid w:val="00A97DB1"/>
    <w:rsid w:val="00AA313C"/>
    <w:rsid w:val="00AA4337"/>
    <w:rsid w:val="00AA45C0"/>
    <w:rsid w:val="00AB5AFE"/>
    <w:rsid w:val="00AB6832"/>
    <w:rsid w:val="00AB7966"/>
    <w:rsid w:val="00AC1874"/>
    <w:rsid w:val="00AC20CE"/>
    <w:rsid w:val="00AC2D3A"/>
    <w:rsid w:val="00AC46BA"/>
    <w:rsid w:val="00AC6CB1"/>
    <w:rsid w:val="00AC7A16"/>
    <w:rsid w:val="00AD005C"/>
    <w:rsid w:val="00AD0758"/>
    <w:rsid w:val="00AD163E"/>
    <w:rsid w:val="00AD2EF2"/>
    <w:rsid w:val="00AD55D0"/>
    <w:rsid w:val="00AE35F8"/>
    <w:rsid w:val="00AE70C9"/>
    <w:rsid w:val="00AE75C6"/>
    <w:rsid w:val="00AF62F0"/>
    <w:rsid w:val="00B04172"/>
    <w:rsid w:val="00B04E1B"/>
    <w:rsid w:val="00B10572"/>
    <w:rsid w:val="00B10629"/>
    <w:rsid w:val="00B14B51"/>
    <w:rsid w:val="00B1658E"/>
    <w:rsid w:val="00B21ED2"/>
    <w:rsid w:val="00B31AF2"/>
    <w:rsid w:val="00B3591C"/>
    <w:rsid w:val="00B41CCB"/>
    <w:rsid w:val="00B426CD"/>
    <w:rsid w:val="00B4281B"/>
    <w:rsid w:val="00B42C19"/>
    <w:rsid w:val="00B439A8"/>
    <w:rsid w:val="00B50A14"/>
    <w:rsid w:val="00B50E14"/>
    <w:rsid w:val="00B511BB"/>
    <w:rsid w:val="00B52821"/>
    <w:rsid w:val="00B617B1"/>
    <w:rsid w:val="00B63720"/>
    <w:rsid w:val="00B64A1F"/>
    <w:rsid w:val="00B6544D"/>
    <w:rsid w:val="00B6548D"/>
    <w:rsid w:val="00B762C1"/>
    <w:rsid w:val="00B76655"/>
    <w:rsid w:val="00B80DF8"/>
    <w:rsid w:val="00B84234"/>
    <w:rsid w:val="00B86838"/>
    <w:rsid w:val="00B92CD8"/>
    <w:rsid w:val="00BA1757"/>
    <w:rsid w:val="00BA41E2"/>
    <w:rsid w:val="00BA6090"/>
    <w:rsid w:val="00BA66E0"/>
    <w:rsid w:val="00BB08DC"/>
    <w:rsid w:val="00BB3231"/>
    <w:rsid w:val="00BB56AE"/>
    <w:rsid w:val="00BC0DC0"/>
    <w:rsid w:val="00BC1F30"/>
    <w:rsid w:val="00BC2063"/>
    <w:rsid w:val="00BC4020"/>
    <w:rsid w:val="00BD1F7B"/>
    <w:rsid w:val="00BD275F"/>
    <w:rsid w:val="00BD55A9"/>
    <w:rsid w:val="00BD55EB"/>
    <w:rsid w:val="00BD5B9A"/>
    <w:rsid w:val="00BD69E8"/>
    <w:rsid w:val="00BE01F4"/>
    <w:rsid w:val="00BE35DD"/>
    <w:rsid w:val="00BE418E"/>
    <w:rsid w:val="00BE78DD"/>
    <w:rsid w:val="00BF6619"/>
    <w:rsid w:val="00C03AF9"/>
    <w:rsid w:val="00C05730"/>
    <w:rsid w:val="00C05BD0"/>
    <w:rsid w:val="00C06741"/>
    <w:rsid w:val="00C072DC"/>
    <w:rsid w:val="00C17C5F"/>
    <w:rsid w:val="00C30F40"/>
    <w:rsid w:val="00C321A7"/>
    <w:rsid w:val="00C323F0"/>
    <w:rsid w:val="00C339A3"/>
    <w:rsid w:val="00C42FE6"/>
    <w:rsid w:val="00C434F0"/>
    <w:rsid w:val="00C45A2E"/>
    <w:rsid w:val="00C46BDB"/>
    <w:rsid w:val="00C563CB"/>
    <w:rsid w:val="00C5731D"/>
    <w:rsid w:val="00C63FB6"/>
    <w:rsid w:val="00C64C9A"/>
    <w:rsid w:val="00C66544"/>
    <w:rsid w:val="00C70132"/>
    <w:rsid w:val="00C81467"/>
    <w:rsid w:val="00C84699"/>
    <w:rsid w:val="00C90BA2"/>
    <w:rsid w:val="00C9163D"/>
    <w:rsid w:val="00C935A4"/>
    <w:rsid w:val="00C940D0"/>
    <w:rsid w:val="00C96BB2"/>
    <w:rsid w:val="00C97049"/>
    <w:rsid w:val="00C97864"/>
    <w:rsid w:val="00CA4C50"/>
    <w:rsid w:val="00CA6B22"/>
    <w:rsid w:val="00CA7023"/>
    <w:rsid w:val="00CA7D5A"/>
    <w:rsid w:val="00CD02EB"/>
    <w:rsid w:val="00CD0346"/>
    <w:rsid w:val="00CD3155"/>
    <w:rsid w:val="00CD5ED3"/>
    <w:rsid w:val="00CD7670"/>
    <w:rsid w:val="00CD7DA9"/>
    <w:rsid w:val="00CE3A89"/>
    <w:rsid w:val="00CE577E"/>
    <w:rsid w:val="00CF31E1"/>
    <w:rsid w:val="00CF6B36"/>
    <w:rsid w:val="00D02C2B"/>
    <w:rsid w:val="00D03834"/>
    <w:rsid w:val="00D11FB8"/>
    <w:rsid w:val="00D14591"/>
    <w:rsid w:val="00D23AF4"/>
    <w:rsid w:val="00D25DA7"/>
    <w:rsid w:val="00D2618B"/>
    <w:rsid w:val="00D30CE0"/>
    <w:rsid w:val="00D322BE"/>
    <w:rsid w:val="00D33C2E"/>
    <w:rsid w:val="00D362E8"/>
    <w:rsid w:val="00D41F74"/>
    <w:rsid w:val="00D431C3"/>
    <w:rsid w:val="00D5001C"/>
    <w:rsid w:val="00D5167F"/>
    <w:rsid w:val="00D518EB"/>
    <w:rsid w:val="00D60D19"/>
    <w:rsid w:val="00D62A17"/>
    <w:rsid w:val="00D62E78"/>
    <w:rsid w:val="00D62FD2"/>
    <w:rsid w:val="00D6316C"/>
    <w:rsid w:val="00D64A0D"/>
    <w:rsid w:val="00D653C7"/>
    <w:rsid w:val="00D669C2"/>
    <w:rsid w:val="00D70ED6"/>
    <w:rsid w:val="00D7418A"/>
    <w:rsid w:val="00D7724D"/>
    <w:rsid w:val="00D7787B"/>
    <w:rsid w:val="00D81F4C"/>
    <w:rsid w:val="00D8563F"/>
    <w:rsid w:val="00D85C82"/>
    <w:rsid w:val="00D94474"/>
    <w:rsid w:val="00D97476"/>
    <w:rsid w:val="00D97F1A"/>
    <w:rsid w:val="00DA260A"/>
    <w:rsid w:val="00DA47C6"/>
    <w:rsid w:val="00DA7F4B"/>
    <w:rsid w:val="00DB2618"/>
    <w:rsid w:val="00DB3CCB"/>
    <w:rsid w:val="00DB549A"/>
    <w:rsid w:val="00DB5BFA"/>
    <w:rsid w:val="00DC0B67"/>
    <w:rsid w:val="00DC2F53"/>
    <w:rsid w:val="00DC7394"/>
    <w:rsid w:val="00DD1416"/>
    <w:rsid w:val="00DD437E"/>
    <w:rsid w:val="00DD7585"/>
    <w:rsid w:val="00DD7F09"/>
    <w:rsid w:val="00DE3634"/>
    <w:rsid w:val="00DF0C87"/>
    <w:rsid w:val="00DF38BB"/>
    <w:rsid w:val="00DF65AD"/>
    <w:rsid w:val="00E00CEA"/>
    <w:rsid w:val="00E055C7"/>
    <w:rsid w:val="00E10F24"/>
    <w:rsid w:val="00E118DD"/>
    <w:rsid w:val="00E14224"/>
    <w:rsid w:val="00E149EE"/>
    <w:rsid w:val="00E14AC6"/>
    <w:rsid w:val="00E21275"/>
    <w:rsid w:val="00E21D49"/>
    <w:rsid w:val="00E27088"/>
    <w:rsid w:val="00E30782"/>
    <w:rsid w:val="00E40CD3"/>
    <w:rsid w:val="00E42663"/>
    <w:rsid w:val="00E43A0A"/>
    <w:rsid w:val="00E44EA3"/>
    <w:rsid w:val="00E51271"/>
    <w:rsid w:val="00E513E4"/>
    <w:rsid w:val="00E52CD0"/>
    <w:rsid w:val="00E52F0B"/>
    <w:rsid w:val="00E5607B"/>
    <w:rsid w:val="00E63E02"/>
    <w:rsid w:val="00E642E2"/>
    <w:rsid w:val="00E64969"/>
    <w:rsid w:val="00E70CE2"/>
    <w:rsid w:val="00E83251"/>
    <w:rsid w:val="00E83B11"/>
    <w:rsid w:val="00E87B8D"/>
    <w:rsid w:val="00E92ED2"/>
    <w:rsid w:val="00EA0B8D"/>
    <w:rsid w:val="00EA1FED"/>
    <w:rsid w:val="00EA70EF"/>
    <w:rsid w:val="00EB03DE"/>
    <w:rsid w:val="00EB0EF0"/>
    <w:rsid w:val="00EB26C0"/>
    <w:rsid w:val="00EB780C"/>
    <w:rsid w:val="00EC2250"/>
    <w:rsid w:val="00EC3009"/>
    <w:rsid w:val="00EC5840"/>
    <w:rsid w:val="00ED2B10"/>
    <w:rsid w:val="00ED6D59"/>
    <w:rsid w:val="00EE3FEC"/>
    <w:rsid w:val="00EE69FE"/>
    <w:rsid w:val="00F00DE1"/>
    <w:rsid w:val="00F02E42"/>
    <w:rsid w:val="00F03B68"/>
    <w:rsid w:val="00F07DD2"/>
    <w:rsid w:val="00F23B25"/>
    <w:rsid w:val="00F24FB3"/>
    <w:rsid w:val="00F25E48"/>
    <w:rsid w:val="00F34398"/>
    <w:rsid w:val="00F3459E"/>
    <w:rsid w:val="00F36794"/>
    <w:rsid w:val="00F4213C"/>
    <w:rsid w:val="00F43151"/>
    <w:rsid w:val="00F43C74"/>
    <w:rsid w:val="00F47CE0"/>
    <w:rsid w:val="00F5148A"/>
    <w:rsid w:val="00F52018"/>
    <w:rsid w:val="00F520CC"/>
    <w:rsid w:val="00F54920"/>
    <w:rsid w:val="00F57CD5"/>
    <w:rsid w:val="00F637E8"/>
    <w:rsid w:val="00F64BE4"/>
    <w:rsid w:val="00F654A7"/>
    <w:rsid w:val="00F66439"/>
    <w:rsid w:val="00F71D25"/>
    <w:rsid w:val="00F72EF5"/>
    <w:rsid w:val="00F73EA2"/>
    <w:rsid w:val="00F74D99"/>
    <w:rsid w:val="00F74F37"/>
    <w:rsid w:val="00F75C05"/>
    <w:rsid w:val="00F847C2"/>
    <w:rsid w:val="00F971F6"/>
    <w:rsid w:val="00FA1704"/>
    <w:rsid w:val="00FA175E"/>
    <w:rsid w:val="00FA18CA"/>
    <w:rsid w:val="00FA225D"/>
    <w:rsid w:val="00FA25D5"/>
    <w:rsid w:val="00FB07B0"/>
    <w:rsid w:val="00FB4616"/>
    <w:rsid w:val="00FB6F78"/>
    <w:rsid w:val="00FC15A3"/>
    <w:rsid w:val="00FC642C"/>
    <w:rsid w:val="00FD194F"/>
    <w:rsid w:val="00FD1B1A"/>
    <w:rsid w:val="00FD2930"/>
    <w:rsid w:val="00FD552E"/>
    <w:rsid w:val="00FD5B21"/>
    <w:rsid w:val="00FD5FA6"/>
    <w:rsid w:val="00FD7A6D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4D77-889F-41ED-BFB8-87A3EE43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69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6537&amp;date=24.10.2023&amp;dst=100034&amp;field=134" TargetMode="External"/><Relationship Id="rId13" Type="http://schemas.openxmlformats.org/officeDocument/2006/relationships/hyperlink" Target="https://login.consultant.ru/link/?req=doc&amp;base=RLAW188&amp;n=109067&amp;dst=101516&amp;field=134&amp;date=01.08.2024" TargetMode="External"/><Relationship Id="rId18" Type="http://schemas.openxmlformats.org/officeDocument/2006/relationships/hyperlink" Target="https://login.consultant.ru/link/?req=doc&amp;base=RLAW188&amp;n=109067&amp;dst=101515&amp;field=134&amp;date=01.08.20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8&amp;n=109067&amp;dst=101516&amp;field=134&amp;date=01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8&amp;n=109067&amp;dst=101515&amp;field=134&amp;date=01.08.2024" TargetMode="External"/><Relationship Id="rId17" Type="http://schemas.openxmlformats.org/officeDocument/2006/relationships/hyperlink" Target="https://login.consultant.ru/link/?req=doc&amp;base=RLAW188&amp;n=109067&amp;dst=101516&amp;field=134&amp;date=01.08.202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9067&amp;dst=101515&amp;field=134&amp;date=01.08.2024" TargetMode="External"/><Relationship Id="rId20" Type="http://schemas.openxmlformats.org/officeDocument/2006/relationships/hyperlink" Target="https://login.consultant.ru/link/?req=doc&amp;base=RLAW188&amp;n=109067&amp;dst=101515&amp;field=134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6537&amp;date=24.10.2023&amp;dst=100034&amp;field=1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109067&amp;dst=101516&amp;field=134&amp;date=01.08.2024" TargetMode="External"/><Relationship Id="rId23" Type="http://schemas.openxmlformats.org/officeDocument/2006/relationships/hyperlink" Target="https://login.consultant.ru/link/?req=doc&amp;base=RLAW188&amp;n=109067&amp;dst=101516&amp;field=134&amp;date=01.08.2024" TargetMode="External"/><Relationship Id="rId10" Type="http://schemas.openxmlformats.org/officeDocument/2006/relationships/hyperlink" Target="https://login.consultant.ru/link/?req=doc&amp;base=LAW&amp;n=439084&amp;dst=100127&amp;field=134&amp;date=23.01.2025" TargetMode="External"/><Relationship Id="rId19" Type="http://schemas.openxmlformats.org/officeDocument/2006/relationships/hyperlink" Target="https://login.consultant.ru/link/?req=doc&amp;base=RLAW188&amp;n=109067&amp;dst=101516&amp;field=134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184&amp;date=24.10.2023" TargetMode="External"/><Relationship Id="rId14" Type="http://schemas.openxmlformats.org/officeDocument/2006/relationships/hyperlink" Target="https://login.consultant.ru/link/?req=doc&amp;base=RLAW188&amp;n=109067&amp;dst=101515&amp;field=134&amp;date=01.08.2024" TargetMode="External"/><Relationship Id="rId22" Type="http://schemas.openxmlformats.org/officeDocument/2006/relationships/hyperlink" Target="https://login.consultant.ru/link/?req=doc&amp;base=RLAW188&amp;n=109067&amp;dst=101515&amp;field=134&amp;date=01.08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3D24-74E1-401D-9DE0-63C237CD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15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Яковлевна Амзаракова</cp:lastModifiedBy>
  <cp:revision>124</cp:revision>
  <cp:lastPrinted>2025-01-27T01:44:00Z</cp:lastPrinted>
  <dcterms:created xsi:type="dcterms:W3CDTF">2025-01-22T08:25:00Z</dcterms:created>
  <dcterms:modified xsi:type="dcterms:W3CDTF">2025-02-20T03:03:00Z</dcterms:modified>
  <cp:version>726502</cp:version>
</cp:coreProperties>
</file>